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7C" w:rsidRPr="00464A59" w:rsidRDefault="00F61464">
      <w:pPr>
        <w:pStyle w:val="Textebrut"/>
        <w:jc w:val="both"/>
        <w:rPr>
          <w:sz w:val="24"/>
        </w:rPr>
      </w:pPr>
      <w:r w:rsidRPr="00464A59">
        <w:rPr>
          <w:rFonts w:ascii="Calibri" w:hAnsi="Calibri" w:cs="Courier New"/>
          <w:b/>
          <w:color w:val="000000"/>
          <w:sz w:val="28"/>
        </w:rPr>
        <w:t>A l’échelle de l’EUROPE</w:t>
      </w:r>
    </w:p>
    <w:p w:rsidR="0008247C" w:rsidRDefault="0008247C">
      <w:pPr>
        <w:pStyle w:val="Textebrut"/>
        <w:jc w:val="both"/>
        <w:rPr>
          <w:rFonts w:ascii="Calibri" w:hAnsi="Calibri" w:cs="Courier New"/>
          <w:color w:val="000000"/>
          <w:sz w:val="16"/>
          <w:szCs w:val="16"/>
        </w:rPr>
      </w:pPr>
    </w:p>
    <w:p w:rsidR="0008247C" w:rsidRPr="00214428" w:rsidRDefault="00F61464">
      <w:pPr>
        <w:pStyle w:val="Textebrut"/>
        <w:ind w:firstLine="708"/>
        <w:jc w:val="both"/>
        <w:rPr>
          <w:sz w:val="22"/>
        </w:rPr>
      </w:pPr>
      <w:r w:rsidRPr="00214428">
        <w:rPr>
          <w:rFonts w:ascii="Calibri" w:hAnsi="Calibri" w:cs="Courier New"/>
          <w:color w:val="000000"/>
          <w:sz w:val="22"/>
        </w:rPr>
        <w:t xml:space="preserve">Le parlement européen va prochainement voter un paquet législatif sur la commercialisation des semences, la santé des animaux </w:t>
      </w:r>
      <w:r w:rsidRPr="00214428">
        <w:rPr>
          <w:rFonts w:ascii="Calibri" w:hAnsi="Calibri" w:cs="Courier New"/>
          <w:strike/>
          <w:color w:val="000000"/>
          <w:sz w:val="22"/>
        </w:rPr>
        <w:t>et</w:t>
      </w:r>
      <w:r w:rsidRPr="00214428">
        <w:rPr>
          <w:rFonts w:ascii="Calibri" w:hAnsi="Calibri" w:cs="Courier New"/>
          <w:color w:val="000000"/>
          <w:sz w:val="22"/>
        </w:rPr>
        <w:t xml:space="preserve"> les plantes, ainsi que les contrôles sur la chaîne alimentaire.</w:t>
      </w:r>
    </w:p>
    <w:p w:rsidR="0008247C" w:rsidRDefault="0008247C">
      <w:pPr>
        <w:pStyle w:val="Textebrut"/>
        <w:jc w:val="both"/>
        <w:rPr>
          <w:rFonts w:ascii="Calibri" w:hAnsi="Calibri" w:cs="Courier New"/>
          <w:color w:val="000000"/>
          <w:sz w:val="8"/>
          <w:szCs w:val="8"/>
        </w:rPr>
      </w:pPr>
    </w:p>
    <w:p w:rsidR="0008247C" w:rsidRPr="00214428" w:rsidRDefault="00F61464">
      <w:pPr>
        <w:pStyle w:val="Textebrut"/>
        <w:ind w:firstLine="708"/>
        <w:jc w:val="both"/>
        <w:rPr>
          <w:sz w:val="22"/>
        </w:rPr>
      </w:pPr>
      <w:r w:rsidRPr="00214428">
        <w:rPr>
          <w:rFonts w:ascii="Calibri" w:hAnsi="Calibri" w:cs="Courier New"/>
          <w:color w:val="000000"/>
          <w:sz w:val="22"/>
        </w:rPr>
        <w:t>En première lecture, ces textes permettraient la reconnaissance du droit des paysans d'échanger leurs semences ainsi que de commercialiser des semences de variétés non enregistrées ou hétérogènes (contrairement à la loi actuelle). Cependant on peut voir par la suite que ces droits sont très limités.</w:t>
      </w:r>
    </w:p>
    <w:p w:rsidR="0008247C" w:rsidRDefault="0008247C">
      <w:pPr>
        <w:pStyle w:val="Textebrut"/>
        <w:jc w:val="both"/>
        <w:rPr>
          <w:rFonts w:ascii="Calibri" w:hAnsi="Calibri" w:cs="Courier New"/>
          <w:color w:val="000000"/>
          <w:sz w:val="8"/>
          <w:szCs w:val="8"/>
        </w:rPr>
      </w:pPr>
    </w:p>
    <w:p w:rsidR="0008247C" w:rsidRPr="00214428" w:rsidRDefault="00F61464">
      <w:pPr>
        <w:pStyle w:val="Textebrut"/>
        <w:jc w:val="both"/>
        <w:rPr>
          <w:sz w:val="22"/>
        </w:rPr>
      </w:pPr>
      <w:r w:rsidRPr="00214428">
        <w:rPr>
          <w:rFonts w:ascii="Calibri" w:hAnsi="Calibri" w:cs="Courier New"/>
          <w:color w:val="000000"/>
          <w:sz w:val="22"/>
        </w:rPr>
        <w:t>En effet, dans ses propositions, le parlement vise à :</w:t>
      </w:r>
    </w:p>
    <w:p w:rsidR="0008247C" w:rsidRPr="00214428" w:rsidRDefault="00F61464">
      <w:pPr>
        <w:pStyle w:val="Textebrut"/>
        <w:jc w:val="both"/>
        <w:rPr>
          <w:sz w:val="22"/>
        </w:rPr>
      </w:pPr>
      <w:r w:rsidRPr="00214428">
        <w:rPr>
          <w:rFonts w:ascii="Calibri" w:hAnsi="Calibri" w:cs="Courier New"/>
          <w:color w:val="000000"/>
          <w:sz w:val="22"/>
        </w:rPr>
        <w:t>- généraliser les plantes et les variétés brevetées, soit un risque d'interdiction totale des semences de ferme ainsi qu'une contamination de toutes les semences paysannes (Ces dernières n’étant pas prises en compte car interdites)</w:t>
      </w:r>
    </w:p>
    <w:p w:rsidR="0008247C" w:rsidRDefault="0008247C">
      <w:pPr>
        <w:pStyle w:val="Textebrut"/>
        <w:jc w:val="both"/>
        <w:rPr>
          <w:rFonts w:ascii="Calibri" w:hAnsi="Calibri" w:cs="Courier New"/>
          <w:sz w:val="8"/>
          <w:szCs w:val="8"/>
        </w:rPr>
      </w:pPr>
    </w:p>
    <w:p w:rsidR="0008247C" w:rsidRPr="00214428" w:rsidRDefault="00F61464">
      <w:pPr>
        <w:pStyle w:val="Textebrut"/>
        <w:jc w:val="both"/>
        <w:rPr>
          <w:sz w:val="22"/>
        </w:rPr>
      </w:pPr>
      <w:r w:rsidRPr="00214428">
        <w:rPr>
          <w:rFonts w:ascii="Calibri" w:hAnsi="Calibri" w:cs="Courier New"/>
          <w:sz w:val="22"/>
        </w:rPr>
        <w:t>- instaurer des normes strictes de product</w:t>
      </w:r>
      <w:r w:rsidRPr="00214428">
        <w:rPr>
          <w:rFonts w:ascii="Calibri" w:hAnsi="Calibri" w:cs="Courier New"/>
          <w:color w:val="000000"/>
          <w:sz w:val="22"/>
        </w:rPr>
        <w:t>ion et de commercialisation, qui coûtent cher aux petits producteurs et aux semences biologiques</w:t>
      </w:r>
      <w:r w:rsidRPr="00214428">
        <w:rPr>
          <w:rStyle w:val="Appelnotedebasdep"/>
          <w:rFonts w:ascii="Calibri" w:hAnsi="Calibri" w:cs="Courier New"/>
          <w:color w:val="000000"/>
          <w:sz w:val="22"/>
        </w:rPr>
        <w:footnoteReference w:id="1"/>
      </w:r>
    </w:p>
    <w:p w:rsidR="0008247C" w:rsidRDefault="0008247C">
      <w:pPr>
        <w:pStyle w:val="Textebrut"/>
        <w:jc w:val="both"/>
        <w:rPr>
          <w:rFonts w:ascii="Calibri" w:hAnsi="Calibri" w:cs="Courier New"/>
          <w:color w:val="FF0000"/>
          <w:sz w:val="8"/>
          <w:szCs w:val="8"/>
        </w:rPr>
      </w:pPr>
    </w:p>
    <w:p w:rsidR="0008247C" w:rsidRPr="00214428" w:rsidRDefault="00F61464">
      <w:pPr>
        <w:pStyle w:val="Textebrut"/>
        <w:jc w:val="both"/>
        <w:rPr>
          <w:sz w:val="22"/>
        </w:rPr>
      </w:pPr>
      <w:r w:rsidRPr="00214428">
        <w:rPr>
          <w:rFonts w:ascii="Calibri" w:hAnsi="Calibri" w:cs="Courier New"/>
          <w:sz w:val="22"/>
        </w:rPr>
        <w:t>-interdire indirectement les associations de conservation de biodiversité de diffuser leurs semences. La réglementation étant très lourde, cela rend cette activité hors de portée de ces associations à petits moyens</w:t>
      </w:r>
      <w:r w:rsidRPr="00214428">
        <w:rPr>
          <w:rStyle w:val="Appelnotedebasdep"/>
          <w:rFonts w:ascii="Calibri" w:hAnsi="Calibri" w:cs="Courier New"/>
          <w:sz w:val="22"/>
        </w:rPr>
        <w:footnoteReference w:id="2"/>
      </w:r>
    </w:p>
    <w:p w:rsidR="0008247C" w:rsidRDefault="0008247C">
      <w:pPr>
        <w:pStyle w:val="Textebrut"/>
        <w:jc w:val="both"/>
        <w:rPr>
          <w:rFonts w:ascii="Calibri" w:hAnsi="Calibri" w:cs="Courier New"/>
          <w:sz w:val="8"/>
          <w:szCs w:val="8"/>
        </w:rPr>
      </w:pPr>
    </w:p>
    <w:p w:rsidR="0008247C" w:rsidRPr="00214428" w:rsidRDefault="00F61464">
      <w:pPr>
        <w:pStyle w:val="Textebrut"/>
        <w:jc w:val="both"/>
        <w:rPr>
          <w:sz w:val="22"/>
        </w:rPr>
      </w:pPr>
      <w:r w:rsidRPr="00214428">
        <w:rPr>
          <w:rFonts w:ascii="Calibri" w:hAnsi="Calibri" w:cs="Courier New"/>
          <w:sz w:val="22"/>
        </w:rPr>
        <w:t>-les autocontrôles des semences, sous normes officielles visent à déplacer la responsabilité civile vers l’agriculteur. Ces contrôles sont à la charge des paysans, seul celui qui a les moyens de prouver qu'il a pris toutes les précautions nécessaires (équipements et personnels agréés, analyses, audits...) peut dégager sa responsabilité en cas de problèmes sanitaire, phytosanitaire, de biosécurité (comme la contamination OGM). Autrement dit, sous couvert de contrôler des problèmes de l’agriculture moderne, on favorise les semenciers industriels.</w:t>
      </w:r>
    </w:p>
    <w:p w:rsidR="0008247C" w:rsidRDefault="0008247C">
      <w:pPr>
        <w:pStyle w:val="Textebrut"/>
        <w:jc w:val="both"/>
        <w:rPr>
          <w:rFonts w:ascii="Calibri" w:hAnsi="Calibri" w:cs="Courier New"/>
          <w:sz w:val="8"/>
          <w:szCs w:val="8"/>
        </w:rPr>
      </w:pPr>
    </w:p>
    <w:p w:rsidR="00214428" w:rsidRPr="00464A59" w:rsidRDefault="00F61464" w:rsidP="00464A59">
      <w:pPr>
        <w:pStyle w:val="Textebrut"/>
        <w:ind w:firstLine="708"/>
        <w:jc w:val="both"/>
        <w:rPr>
          <w:rFonts w:ascii="Calibri" w:hAnsi="Calibri" w:cs="Courier New"/>
          <w:color w:val="000000"/>
          <w:sz w:val="22"/>
        </w:rPr>
      </w:pPr>
      <w:r w:rsidRPr="00214428">
        <w:rPr>
          <w:rFonts w:ascii="Calibri" w:hAnsi="Calibri" w:cs="Courier New"/>
          <w:sz w:val="22"/>
        </w:rPr>
        <w:t xml:space="preserve">Aux Etats Unis, entre 1997 et 2010, Monsanto a intenté 144 procès et a négocié 700 arbitrages pour atteinte à la propriété intellectuelle arguant que ses </w:t>
      </w:r>
      <w:r w:rsidR="00A57EED" w:rsidRPr="00214428">
        <w:rPr>
          <w:rFonts w:ascii="Calibri" w:hAnsi="Calibri" w:cs="Courier New"/>
          <w:sz w:val="22"/>
        </w:rPr>
        <w:t>semences Génétiquement Modifiées</w:t>
      </w:r>
      <w:r w:rsidRPr="00214428">
        <w:rPr>
          <w:rFonts w:ascii="Calibri" w:hAnsi="Calibri" w:cs="Courier New"/>
          <w:sz w:val="22"/>
        </w:rPr>
        <w:t xml:space="preserve"> étaient cultivées sans payer de redevances. Une bonne partie de ces procès visent des paysans dont les terres ont été contaminées par la diffu</w:t>
      </w:r>
      <w:r w:rsidR="00A57EED" w:rsidRPr="00214428">
        <w:rPr>
          <w:rFonts w:ascii="Calibri" w:hAnsi="Calibri" w:cs="Courier New"/>
          <w:sz w:val="22"/>
        </w:rPr>
        <w:t xml:space="preserve">sion depuis les champs voisins. </w:t>
      </w:r>
      <w:r w:rsidRPr="00214428">
        <w:rPr>
          <w:rFonts w:ascii="Calibri" w:hAnsi="Calibri" w:cs="Courier New"/>
          <w:sz w:val="22"/>
        </w:rPr>
        <w:t xml:space="preserve">Des agriculteurs victimes des modifications des gènes de la multinationale se retrouvent coupables et sévèrement </w:t>
      </w:r>
      <w:r w:rsidRPr="00214428">
        <w:rPr>
          <w:rFonts w:ascii="Calibri" w:hAnsi="Calibri" w:cs="Courier New"/>
          <w:color w:val="000000"/>
          <w:sz w:val="22"/>
        </w:rPr>
        <w:t>condamnés</w:t>
      </w:r>
      <w:r w:rsidRPr="00214428">
        <w:rPr>
          <w:rStyle w:val="Appelnotedebasdep"/>
          <w:rFonts w:ascii="Calibri" w:hAnsi="Calibri" w:cs="Courier New"/>
          <w:color w:val="000000"/>
          <w:sz w:val="22"/>
        </w:rPr>
        <w:footnoteReference w:id="3"/>
      </w:r>
      <w:r w:rsidRPr="00214428">
        <w:rPr>
          <w:rFonts w:ascii="Calibri" w:hAnsi="Calibri" w:cs="Courier New"/>
          <w:color w:val="000000"/>
          <w:sz w:val="22"/>
        </w:rPr>
        <w:t xml:space="preserve">. </w:t>
      </w:r>
    </w:p>
    <w:p w:rsidR="0008247C" w:rsidRPr="00464A59" w:rsidRDefault="00F61464">
      <w:pPr>
        <w:pStyle w:val="Textebrut"/>
        <w:jc w:val="both"/>
        <w:rPr>
          <w:sz w:val="24"/>
        </w:rPr>
      </w:pPr>
      <w:r w:rsidRPr="00464A59">
        <w:rPr>
          <w:rFonts w:ascii="Calibri" w:hAnsi="Calibri" w:cs="Courier New"/>
          <w:b/>
          <w:color w:val="000000"/>
          <w:sz w:val="28"/>
        </w:rPr>
        <w:lastRenderedPageBreak/>
        <w:t>A l’échelle de la FRANCE</w:t>
      </w:r>
    </w:p>
    <w:p w:rsidR="0008247C" w:rsidRDefault="0008247C">
      <w:pPr>
        <w:pStyle w:val="Textebrut"/>
        <w:jc w:val="both"/>
        <w:rPr>
          <w:rFonts w:ascii="Calibri" w:hAnsi="Calibri" w:cs="Courier New"/>
          <w:sz w:val="16"/>
          <w:szCs w:val="16"/>
        </w:rPr>
      </w:pPr>
    </w:p>
    <w:p w:rsidR="0008247C" w:rsidRPr="002D0CC7" w:rsidRDefault="00F61464">
      <w:pPr>
        <w:pStyle w:val="Textebrut"/>
        <w:ind w:firstLine="708"/>
        <w:jc w:val="both"/>
      </w:pPr>
      <w:r w:rsidRPr="002D0CC7">
        <w:rPr>
          <w:rFonts w:ascii="Calibri" w:hAnsi="Calibri" w:cs="Courier New"/>
        </w:rPr>
        <w:t xml:space="preserve">La loi de Certificat </w:t>
      </w:r>
      <w:r w:rsidRPr="002D0CC7">
        <w:rPr>
          <w:rFonts w:ascii="Calibri" w:hAnsi="Calibri" w:cs="Courier New"/>
          <w:color w:val="000000"/>
        </w:rPr>
        <w:t xml:space="preserve">d'Obtentions Végétales (COV) de 2011 rend possible la pratique de semence de fermes pour 21 espèces (et </w:t>
      </w:r>
      <w:r w:rsidRPr="002D0CC7">
        <w:rPr>
          <w:rFonts w:ascii="Calibri" w:hAnsi="Calibri" w:cs="Courier New"/>
        </w:rPr>
        <w:t>interdit donc toute réutilisation pour les autres espèces que ce soit par semis</w:t>
      </w:r>
      <w:r w:rsidRPr="002D0CC7">
        <w:rPr>
          <w:rFonts w:ascii="Calibri" w:hAnsi="Calibri" w:cs="Courier New"/>
          <w:color w:val="000000"/>
        </w:rPr>
        <w:t>, échange ou vente) sous réserve p</w:t>
      </w:r>
      <w:r w:rsidR="002D0CC7" w:rsidRPr="002D0CC7">
        <w:rPr>
          <w:rFonts w:ascii="Calibri" w:hAnsi="Calibri" w:cs="Courier New"/>
          <w:color w:val="000000"/>
        </w:rPr>
        <w:t xml:space="preserve">our l’agriculteur de rémunérer </w:t>
      </w:r>
      <w:r w:rsidRPr="002D0CC7">
        <w:rPr>
          <w:rFonts w:ascii="Calibri" w:hAnsi="Calibri" w:cs="Courier New"/>
          <w:color w:val="000000"/>
        </w:rPr>
        <w:t>l’obtenteur</w:t>
      </w:r>
      <w:r w:rsidR="002D0CC7" w:rsidRPr="002D0CC7">
        <w:rPr>
          <w:rStyle w:val="Appelnotedebasdep"/>
          <w:rFonts w:ascii="Calibri" w:hAnsi="Calibri" w:cs="Courier New"/>
          <w:color w:val="000000"/>
        </w:rPr>
        <w:footnoteReference w:id="4"/>
      </w:r>
      <w:r w:rsidRPr="002D0CC7">
        <w:rPr>
          <w:rFonts w:ascii="Calibri" w:hAnsi="Calibri" w:cs="Courier New"/>
          <w:color w:val="000000"/>
        </w:rPr>
        <w:t xml:space="preserve"> des variétés qu’il utilise…</w:t>
      </w:r>
    </w:p>
    <w:p w:rsidR="0008247C" w:rsidRDefault="0008247C">
      <w:pPr>
        <w:pStyle w:val="Textebrut"/>
        <w:jc w:val="both"/>
        <w:rPr>
          <w:rFonts w:ascii="Calibri" w:hAnsi="Calibri" w:cs="Courier New"/>
          <w:color w:val="000000"/>
          <w:sz w:val="8"/>
          <w:szCs w:val="8"/>
          <w:shd w:val="clear" w:color="auto" w:fill="FFFF00"/>
        </w:rPr>
      </w:pPr>
    </w:p>
    <w:p w:rsidR="0008247C" w:rsidRPr="002D0CC7" w:rsidRDefault="00F61464">
      <w:pPr>
        <w:pStyle w:val="Textebrut"/>
        <w:jc w:val="both"/>
      </w:pPr>
      <w:r w:rsidRPr="002D0CC7">
        <w:rPr>
          <w:rFonts w:ascii="Calibri" w:hAnsi="Calibri" w:cs="Courier New"/>
        </w:rPr>
        <w:t>En ce début 2014, de nombreuses actions pour le droit paysan ont permis d'obtenir de grandes avancées pour les semences de fermes :</w:t>
      </w:r>
    </w:p>
    <w:p w:rsidR="0008247C" w:rsidRPr="002D0CC7" w:rsidRDefault="00F61464">
      <w:pPr>
        <w:pStyle w:val="Textebrut"/>
        <w:jc w:val="both"/>
      </w:pPr>
      <w:r w:rsidRPr="002D0CC7">
        <w:rPr>
          <w:rFonts w:ascii="Calibri" w:hAnsi="Calibri" w:cs="Courier New"/>
        </w:rPr>
        <w:t>- inscription dans la loi que "l'utilisation de semences de ferme ne constitue pas une contrefaçon"</w:t>
      </w:r>
    </w:p>
    <w:p w:rsidR="0008247C" w:rsidRPr="002D0CC7" w:rsidRDefault="00F61464">
      <w:pPr>
        <w:pStyle w:val="Textebrut"/>
        <w:jc w:val="both"/>
      </w:pPr>
      <w:r w:rsidRPr="002D0CC7">
        <w:rPr>
          <w:rFonts w:ascii="Calibri" w:hAnsi="Calibri" w:cs="Courier New"/>
        </w:rPr>
        <w:t>- engagement du gouvernement de "présenter un amendement afin que les semences de ferme ne soient plus concernées par la loi renforçant la lutte contre la contrefaçon".</w:t>
      </w:r>
    </w:p>
    <w:p w:rsidR="0008247C" w:rsidRDefault="0008247C">
      <w:pPr>
        <w:pStyle w:val="Textebrut"/>
        <w:jc w:val="both"/>
        <w:rPr>
          <w:rFonts w:ascii="Calibri" w:hAnsi="Calibri" w:cs="Courier New"/>
          <w:sz w:val="8"/>
          <w:szCs w:val="8"/>
        </w:rPr>
      </w:pPr>
    </w:p>
    <w:p w:rsidR="0008247C" w:rsidRDefault="00F61464">
      <w:pPr>
        <w:pStyle w:val="Textebrut"/>
        <w:ind w:firstLine="708"/>
        <w:jc w:val="both"/>
      </w:pPr>
      <w:r>
        <w:rPr>
          <w:rFonts w:ascii="Calibri" w:hAnsi="Calibri" w:cs="Courier New"/>
        </w:rPr>
        <w:t>Aujourd’hui un nouveau projet de loi, la Loi pour l’Avenir de l’Agriculture, de l’Alimentation et de la Forêt (LAAF) est en cours d'</w:t>
      </w:r>
      <w:proofErr w:type="spellStart"/>
      <w:r>
        <w:rPr>
          <w:rFonts w:ascii="Calibri" w:hAnsi="Calibri" w:cs="Courier New"/>
        </w:rPr>
        <w:t>examination</w:t>
      </w:r>
      <w:proofErr w:type="spellEnd"/>
      <w:r>
        <w:rPr>
          <w:rFonts w:ascii="Calibri" w:hAnsi="Calibri" w:cs="Courier New"/>
        </w:rPr>
        <w:t>.</w:t>
      </w:r>
    </w:p>
    <w:p w:rsidR="0008247C" w:rsidRDefault="00F61464">
      <w:pPr>
        <w:pStyle w:val="Textebrut"/>
        <w:jc w:val="both"/>
      </w:pPr>
      <w:r>
        <w:rPr>
          <w:rFonts w:ascii="Calibri" w:hAnsi="Calibri" w:cs="Courier New"/>
        </w:rPr>
        <w:tab/>
      </w:r>
      <w:r w:rsidR="00214428">
        <w:rPr>
          <w:rFonts w:ascii="Calibri" w:hAnsi="Calibri" w:cs="Courier New"/>
        </w:rPr>
        <w:t>Selon la communication des porteurs de cette loi, l’objectif</w:t>
      </w:r>
      <w:r>
        <w:rPr>
          <w:rFonts w:ascii="Calibri" w:hAnsi="Calibri" w:cs="Courier New"/>
        </w:rPr>
        <w:t xml:space="preserve"> est  d'orienter l'agriculture vers un modèle agro-écologique, permettre un renouvellement des générations et modifier la relation entre agriculture et société.</w:t>
      </w:r>
    </w:p>
    <w:p w:rsidR="0008247C" w:rsidRPr="002D0CC7" w:rsidRDefault="0008247C">
      <w:pPr>
        <w:pStyle w:val="Textebrut"/>
        <w:jc w:val="both"/>
        <w:rPr>
          <w:rFonts w:ascii="Calibri" w:hAnsi="Calibri" w:cs="Courier New"/>
          <w:sz w:val="10"/>
          <w:szCs w:val="8"/>
        </w:rPr>
      </w:pPr>
    </w:p>
    <w:p w:rsidR="0008247C" w:rsidRPr="00A57EED" w:rsidRDefault="00F61464">
      <w:pPr>
        <w:pStyle w:val="Textebrut"/>
        <w:ind w:firstLine="708"/>
        <w:jc w:val="both"/>
        <w:rPr>
          <w:rFonts w:ascii="Calibri" w:hAnsi="Calibri" w:cs="Courier New"/>
        </w:rPr>
      </w:pPr>
      <w:r>
        <w:rPr>
          <w:rFonts w:ascii="Calibri" w:hAnsi="Calibri" w:cs="Courier New"/>
        </w:rPr>
        <w:t>Le ministre de l’Agriculture, a défini l’agro-écologie comme “un système de production privilégiant l’autonomie des exploitations agricoles et l’amélioration de leur compétitivité en diminuant la consommation d’énergie, d’eau, d’engrais, de produits phytopharmaceutiques et de médicaments vétérinaires”.</w:t>
      </w:r>
    </w:p>
    <w:p w:rsidR="00A57EED" w:rsidRDefault="00A57EED" w:rsidP="00A57EED">
      <w:pPr>
        <w:pStyle w:val="Textebrut"/>
        <w:jc w:val="both"/>
      </w:pPr>
      <w:r>
        <w:rPr>
          <w:rFonts w:ascii="Calibri" w:hAnsi="Calibri" w:cs="Courier New"/>
        </w:rPr>
        <w:t xml:space="preserve">Cette </w:t>
      </w:r>
      <w:r w:rsidRPr="00A57EED">
        <w:rPr>
          <w:rFonts w:ascii="Calibri" w:hAnsi="Calibri" w:cs="Courier New"/>
        </w:rPr>
        <w:t>définition donne par le concept de « compétitivité » une place prépondérante du monde économique, et fixe un objectif de rentabilité de l’agro-écologie.</w:t>
      </w:r>
    </w:p>
    <w:p w:rsidR="0008247C" w:rsidRPr="002D0CC7" w:rsidRDefault="0008247C">
      <w:pPr>
        <w:pStyle w:val="Textebrut"/>
        <w:jc w:val="both"/>
        <w:rPr>
          <w:rFonts w:ascii="Calibri" w:hAnsi="Calibri" w:cs="Courier New"/>
          <w:sz w:val="10"/>
          <w:szCs w:val="8"/>
        </w:rPr>
      </w:pPr>
    </w:p>
    <w:p w:rsidR="0008247C" w:rsidRDefault="00F61464">
      <w:pPr>
        <w:pStyle w:val="Textebrut"/>
        <w:ind w:firstLine="708"/>
        <w:jc w:val="both"/>
      </w:pPr>
      <w:r>
        <w:rPr>
          <w:rFonts w:ascii="Calibri" w:hAnsi="Calibri" w:cs="Courier New"/>
        </w:rPr>
        <w:t>On pourrait reconnaître dans une première approche une certaine rupture avec le modèle agro-industriel actuel :</w:t>
      </w:r>
    </w:p>
    <w:p w:rsidR="0008247C" w:rsidRDefault="00F61464">
      <w:pPr>
        <w:pStyle w:val="Textebrut"/>
        <w:jc w:val="both"/>
      </w:pPr>
      <w:r>
        <w:rPr>
          <w:rFonts w:ascii="Calibri" w:hAnsi="Calibri" w:cs="Courier New"/>
        </w:rPr>
        <w:tab/>
        <w:t>Pour les semences paysannes, l'expérimentation à la ferme est autorisée. Les paysans peuvent produire des semences non inscrites dès lors qu'ils s'inscrivent sur un registre.</w:t>
      </w:r>
    </w:p>
    <w:p w:rsidR="0008247C" w:rsidRPr="002D0CC7" w:rsidRDefault="0008247C">
      <w:pPr>
        <w:pStyle w:val="Textebrut"/>
        <w:jc w:val="both"/>
        <w:rPr>
          <w:rFonts w:ascii="Calibri" w:hAnsi="Calibri" w:cs="Courier New"/>
          <w:sz w:val="10"/>
          <w:szCs w:val="8"/>
        </w:rPr>
      </w:pPr>
    </w:p>
    <w:p w:rsidR="0008247C" w:rsidRDefault="00F61464">
      <w:pPr>
        <w:pStyle w:val="Textebrut"/>
        <w:ind w:firstLine="708"/>
        <w:jc w:val="both"/>
      </w:pPr>
      <w:r>
        <w:rPr>
          <w:rFonts w:ascii="Calibri" w:hAnsi="Calibri" w:cs="Courier New"/>
        </w:rPr>
        <w:t>Mais une fois que ce référencement est effectué, si on applique le décret européen, cela constituerait une liste de tous les paysans illégaux, ce qui peut leur être fatal. Qui plus est, ils ne peuvent ni vendre leur semence, ni les troquer ni les donner en tant que tel. On empêche donc le partage de savoir et l’enrichissement des expériences.</w:t>
      </w:r>
    </w:p>
    <w:p w:rsidR="0008247C" w:rsidRDefault="0008247C">
      <w:pPr>
        <w:pStyle w:val="Textebrut"/>
        <w:jc w:val="both"/>
        <w:rPr>
          <w:rFonts w:ascii="Calibri" w:hAnsi="Calibri" w:cs="Courier New"/>
          <w:sz w:val="8"/>
          <w:szCs w:val="8"/>
        </w:rPr>
      </w:pPr>
    </w:p>
    <w:p w:rsidR="0008247C" w:rsidRDefault="0008247C">
      <w:pPr>
        <w:pStyle w:val="Textebrut"/>
        <w:ind w:firstLine="708"/>
        <w:jc w:val="both"/>
        <w:rPr>
          <w:rFonts w:ascii="Calibri" w:hAnsi="Calibri" w:cs="Courier New"/>
          <w:sz w:val="8"/>
          <w:szCs w:val="8"/>
        </w:rPr>
      </w:pPr>
    </w:p>
    <w:p w:rsidR="00214428" w:rsidRDefault="00CC1F99">
      <w:pPr>
        <w:pStyle w:val="Textebrut"/>
        <w:ind w:firstLine="708"/>
        <w:jc w:val="both"/>
        <w:rPr>
          <w:rFonts w:ascii="Calibri" w:hAnsi="Calibri" w:cs="Courier New"/>
        </w:rPr>
      </w:pPr>
      <w:r>
        <w:rPr>
          <w:rFonts w:ascii="Calibri" w:hAnsi="Calibri" w:cs="Courier New"/>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95pt;margin-top:.3pt;width:377.7pt;height:67.4pt;z-index:251661312;visibility:visible" filled="f" strokeweight=".06pt">
            <v:textbox style="mso-rotate-with-shape:t" inset=".3mm,.3mm,.5mm,.3mm">
              <w:txbxContent>
                <w:p w:rsidR="00214428" w:rsidRDefault="00214428" w:rsidP="00214428">
                  <w:pPr>
                    <w:pStyle w:val="Notedebasdepage"/>
                    <w:jc w:val="both"/>
                  </w:pPr>
                  <w:r w:rsidRPr="00214428">
                    <w:t>*</w:t>
                  </w:r>
                  <w:r>
                    <w:t xml:space="preserve"> Pour toute conversion en bio, la PAC verse une prime à l'hectare. De là certains abus ont été constatés : des gros propriétaires qui  passaient 100ha en reconversion bio, et touchaient pour cela des primes pendant 2 ans. Ensuite ils refaisaient de l'intensif dessus pendant 2 ans, pour pouvoir repasser en reconversion pendant encore 2 ans. Alternant ainsi deux passerelles de 100Ha, cela leur permet de toucher continuellement les primes.</w:t>
                  </w:r>
                </w:p>
                <w:p w:rsidR="00214428" w:rsidRPr="00214428" w:rsidRDefault="00214428" w:rsidP="00214428">
                  <w:pPr>
                    <w:jc w:val="both"/>
                  </w:pPr>
                  <w:r>
                    <w:t xml:space="preserve">  </w:t>
                  </w:r>
                </w:p>
              </w:txbxContent>
            </v:textbox>
          </v:shape>
        </w:pict>
      </w:r>
    </w:p>
    <w:p w:rsidR="00214428" w:rsidRDefault="00214428">
      <w:pPr>
        <w:pStyle w:val="Textebrut"/>
        <w:ind w:firstLine="708"/>
        <w:jc w:val="both"/>
        <w:rPr>
          <w:rFonts w:ascii="Calibri" w:hAnsi="Calibri" w:cs="Courier New"/>
        </w:rPr>
      </w:pPr>
    </w:p>
    <w:p w:rsidR="00214428" w:rsidRDefault="00214428">
      <w:pPr>
        <w:pStyle w:val="Textebrut"/>
        <w:ind w:firstLine="708"/>
        <w:jc w:val="both"/>
        <w:rPr>
          <w:rFonts w:ascii="Calibri" w:hAnsi="Calibri" w:cs="Courier New"/>
        </w:rPr>
      </w:pPr>
    </w:p>
    <w:p w:rsidR="00214428" w:rsidRDefault="00214428" w:rsidP="002D0CC7">
      <w:pPr>
        <w:pStyle w:val="Textebrut"/>
        <w:jc w:val="both"/>
        <w:rPr>
          <w:rFonts w:ascii="Calibri" w:hAnsi="Calibri" w:cs="Courier New"/>
          <w:b/>
        </w:rPr>
      </w:pPr>
    </w:p>
    <w:p w:rsidR="002D0CC7" w:rsidRDefault="002D0CC7">
      <w:pPr>
        <w:pStyle w:val="Textebrut"/>
        <w:ind w:firstLine="708"/>
        <w:jc w:val="both"/>
        <w:rPr>
          <w:rFonts w:ascii="Calibri" w:hAnsi="Calibri" w:cs="Courier New"/>
          <w:b/>
        </w:rPr>
      </w:pPr>
    </w:p>
    <w:p w:rsidR="00214428" w:rsidRPr="00464A59" w:rsidRDefault="00214428">
      <w:pPr>
        <w:pStyle w:val="Textebrut"/>
        <w:ind w:firstLine="708"/>
        <w:jc w:val="both"/>
        <w:rPr>
          <w:rFonts w:ascii="Calibri" w:hAnsi="Calibri" w:cs="Courier New"/>
          <w:b/>
          <w:sz w:val="28"/>
        </w:rPr>
      </w:pPr>
      <w:r w:rsidRPr="00464A59">
        <w:rPr>
          <w:rFonts w:ascii="Calibri" w:hAnsi="Calibri" w:cs="Courier New"/>
          <w:b/>
          <w:sz w:val="28"/>
        </w:rPr>
        <w:lastRenderedPageBreak/>
        <w:t>Conséquences sur la paysannerie</w:t>
      </w:r>
    </w:p>
    <w:p w:rsidR="00214428" w:rsidRDefault="00214428">
      <w:pPr>
        <w:pStyle w:val="Textebrut"/>
        <w:ind w:firstLine="708"/>
        <w:jc w:val="both"/>
        <w:rPr>
          <w:rFonts w:ascii="Calibri" w:hAnsi="Calibri" w:cs="Courier New"/>
        </w:rPr>
      </w:pPr>
    </w:p>
    <w:p w:rsidR="0008247C" w:rsidRDefault="00F61464">
      <w:pPr>
        <w:pStyle w:val="Textebrut"/>
        <w:ind w:firstLine="708"/>
        <w:jc w:val="both"/>
      </w:pPr>
      <w:r>
        <w:rPr>
          <w:rFonts w:ascii="Calibri" w:hAnsi="Calibri" w:cs="Courier New"/>
        </w:rPr>
        <w:t>Il semble cohérent de faire confiance au savoir-faire paysan vieux de plusieurs milliers d'années, plutôt qu'aux agro-businessmen qui font la chasse aux primes PAC</w:t>
      </w:r>
      <w:r w:rsidR="00214428">
        <w:rPr>
          <w:rFonts w:ascii="Calibri" w:hAnsi="Calibri" w:cs="Courier New"/>
        </w:rPr>
        <w:t>*</w:t>
      </w:r>
      <w:r>
        <w:rPr>
          <w:rFonts w:ascii="Calibri" w:hAnsi="Calibri" w:cs="Courier New"/>
        </w:rPr>
        <w:t xml:space="preserve"> et jouent aux chimistes de plein champ. Les conséquences de ces lois existent déjà et se renforcent:</w:t>
      </w:r>
    </w:p>
    <w:p w:rsidR="0008247C" w:rsidRDefault="0008247C">
      <w:pPr>
        <w:pStyle w:val="Textebrut"/>
        <w:jc w:val="both"/>
        <w:rPr>
          <w:rFonts w:ascii="Calibri" w:hAnsi="Calibri" w:cs="Courier New"/>
          <w:sz w:val="8"/>
          <w:szCs w:val="8"/>
        </w:rPr>
      </w:pPr>
    </w:p>
    <w:p w:rsidR="0008247C" w:rsidRDefault="00F61464">
      <w:pPr>
        <w:pStyle w:val="Textebrut"/>
        <w:jc w:val="both"/>
      </w:pPr>
      <w:r>
        <w:rPr>
          <w:rFonts w:ascii="Calibri" w:hAnsi="Calibri" w:cs="Courier New"/>
        </w:rPr>
        <w:t>- Création de monopoles qui s’amplifient au cours du temps. 10 multinationales</w:t>
      </w:r>
      <w:r w:rsidR="009E5516">
        <w:rPr>
          <w:rFonts w:ascii="Calibri" w:hAnsi="Calibri" w:cs="Courier New"/>
        </w:rPr>
        <w:t xml:space="preserve"> </w:t>
      </w:r>
      <w:r w:rsidR="009E5516">
        <w:rPr>
          <w:rFonts w:ascii="Calibri" w:hAnsi="Calibri" w:cs="Courier New"/>
          <w:sz w:val="22"/>
        </w:rPr>
        <w:t>(</w:t>
      </w:r>
      <w:proofErr w:type="spellStart"/>
      <w:r w:rsidR="009E5516">
        <w:rPr>
          <w:rFonts w:ascii="Calibri" w:hAnsi="Calibri" w:cs="Courier New"/>
          <w:sz w:val="22"/>
        </w:rPr>
        <w:t>Monsento</w:t>
      </w:r>
      <w:proofErr w:type="spellEnd"/>
      <w:r w:rsidR="009E5516">
        <w:rPr>
          <w:rFonts w:ascii="Calibri" w:hAnsi="Calibri" w:cs="Courier New"/>
          <w:sz w:val="22"/>
        </w:rPr>
        <w:t xml:space="preserve">, Dupont, </w:t>
      </w:r>
      <w:proofErr w:type="spellStart"/>
      <w:r w:rsidR="009E5516">
        <w:rPr>
          <w:rFonts w:ascii="Calibri" w:hAnsi="Calibri" w:cs="Courier New"/>
          <w:sz w:val="22"/>
        </w:rPr>
        <w:t>Syngenta</w:t>
      </w:r>
      <w:proofErr w:type="spellEnd"/>
      <w:r w:rsidR="009E5516">
        <w:rPr>
          <w:rFonts w:ascii="Calibri" w:hAnsi="Calibri" w:cs="Courier New"/>
          <w:sz w:val="22"/>
        </w:rPr>
        <w:t xml:space="preserve">, </w:t>
      </w:r>
      <w:proofErr w:type="spellStart"/>
      <w:r w:rsidR="009E5516">
        <w:rPr>
          <w:rFonts w:ascii="Calibri" w:hAnsi="Calibri" w:cs="Courier New"/>
          <w:sz w:val="22"/>
        </w:rPr>
        <w:t>Limagrain</w:t>
      </w:r>
      <w:proofErr w:type="spellEnd"/>
      <w:r w:rsidR="009E5516">
        <w:rPr>
          <w:rFonts w:ascii="Calibri" w:hAnsi="Calibri" w:cs="Courier New"/>
          <w:sz w:val="22"/>
        </w:rPr>
        <w:t>, Bayer, etc.)</w:t>
      </w:r>
      <w:r>
        <w:rPr>
          <w:rFonts w:ascii="Calibri" w:hAnsi="Calibri" w:cs="Courier New"/>
        </w:rPr>
        <w:t xml:space="preserve"> ont contrôlé 67 % du marché mondial des semences en 2007 et 73% du marché en 2009.</w:t>
      </w:r>
      <w:r w:rsidRPr="0008247C">
        <w:rPr>
          <w:rStyle w:val="Appelnotedebasdep"/>
          <w:rFonts w:ascii="Calibri" w:hAnsi="Calibri" w:cs="Courier New"/>
        </w:rPr>
        <w:footnoteReference w:id="5"/>
      </w:r>
    </w:p>
    <w:p w:rsidR="0008247C" w:rsidRDefault="0008247C">
      <w:pPr>
        <w:pStyle w:val="Textebrut"/>
        <w:jc w:val="both"/>
        <w:rPr>
          <w:rFonts w:ascii="Calibri" w:hAnsi="Calibri" w:cs="Courier New"/>
          <w:sz w:val="8"/>
          <w:szCs w:val="8"/>
        </w:rPr>
      </w:pPr>
    </w:p>
    <w:p w:rsidR="0008247C" w:rsidRDefault="00F61464">
      <w:pPr>
        <w:pStyle w:val="Textebrut"/>
        <w:jc w:val="both"/>
      </w:pPr>
      <w:r>
        <w:rPr>
          <w:rFonts w:ascii="Calibri" w:hAnsi="Calibri" w:cs="Courier New"/>
        </w:rPr>
        <w:t>-Ces monopoles impliquent des uniformisations. Uniformisation des gènes, et donc réduction de la biodiversité mondiale</w:t>
      </w:r>
      <w:r w:rsidR="00A57EED">
        <w:rPr>
          <w:rFonts w:ascii="Calibri" w:hAnsi="Calibri" w:cs="Courier New"/>
        </w:rPr>
        <w:t xml:space="preserve">. </w:t>
      </w:r>
      <w:r w:rsidR="00A57EED">
        <w:rPr>
          <w:rFonts w:ascii="Calibri" w:hAnsi="Calibri" w:cs="Courier New"/>
          <w:sz w:val="22"/>
        </w:rPr>
        <w:t>Quelques dizaines de variétés nourrissent plus de 90% de la planète. Et déjà 80% des variétés d’il y a 50 ans ont disparu. </w:t>
      </w:r>
    </w:p>
    <w:p w:rsidR="0008247C" w:rsidRDefault="0008247C">
      <w:pPr>
        <w:pStyle w:val="Textebrut"/>
        <w:jc w:val="both"/>
        <w:rPr>
          <w:rFonts w:ascii="Calibri" w:hAnsi="Calibri" w:cs="Courier New"/>
          <w:sz w:val="8"/>
          <w:szCs w:val="8"/>
        </w:rPr>
      </w:pPr>
    </w:p>
    <w:p w:rsidR="0008247C" w:rsidRDefault="00F61464">
      <w:pPr>
        <w:pStyle w:val="Textebrut"/>
        <w:jc w:val="both"/>
      </w:pPr>
      <w:r>
        <w:rPr>
          <w:rFonts w:ascii="Calibri" w:hAnsi="Calibri" w:cs="Courier New"/>
        </w:rPr>
        <w:t>- Uniformisation des pratiques, entre autre ces multinationales  pratiquent beaucoup la monoculture avec pesticides et forts ajouts d’intrants chimiques. Ce sont les mêmes qui modifient les espèces génétiquement. Cela s’oppose avec une conception réellement écologique de l'agriculture, qui se doit d'être décentralisée et pensée en fonction du lieu et des saisons locales</w:t>
      </w:r>
    </w:p>
    <w:p w:rsidR="0008247C" w:rsidRDefault="0008247C">
      <w:pPr>
        <w:pStyle w:val="Textebrut"/>
        <w:jc w:val="both"/>
        <w:rPr>
          <w:rFonts w:ascii="Calibri" w:hAnsi="Calibri" w:cs="Courier New"/>
          <w:sz w:val="8"/>
          <w:szCs w:val="8"/>
        </w:rPr>
      </w:pPr>
    </w:p>
    <w:p w:rsidR="0008247C" w:rsidRDefault="00F61464">
      <w:pPr>
        <w:pStyle w:val="Textebrut"/>
        <w:jc w:val="both"/>
      </w:pPr>
      <w:r>
        <w:rPr>
          <w:rFonts w:ascii="Calibri" w:hAnsi="Calibri" w:cs="Courier New"/>
        </w:rPr>
        <w:t>- Les paysans deviennent totalement dépendants de ces quelques entreprises. On réduit ainsi les possibilités d’explorer des alternatives, et on détruit les possibilités d’avoir les contre-pouvoirs à la base de toute démocratie.</w:t>
      </w:r>
    </w:p>
    <w:p w:rsidR="0008247C" w:rsidRDefault="0008247C">
      <w:pPr>
        <w:pStyle w:val="Textebrut"/>
        <w:jc w:val="both"/>
        <w:rPr>
          <w:rFonts w:ascii="Calibri" w:hAnsi="Calibri" w:cs="Courier New"/>
          <w:sz w:val="8"/>
          <w:szCs w:val="8"/>
        </w:rPr>
      </w:pPr>
    </w:p>
    <w:p w:rsidR="0008247C" w:rsidRDefault="00F61464">
      <w:pPr>
        <w:pStyle w:val="Textebrut"/>
        <w:jc w:val="both"/>
      </w:pPr>
      <w:r>
        <w:rPr>
          <w:rFonts w:ascii="Calibri" w:hAnsi="Calibri" w:cs="Courier New"/>
        </w:rPr>
        <w:t>- On pousse à l’</w:t>
      </w:r>
      <w:proofErr w:type="spellStart"/>
      <w:r>
        <w:rPr>
          <w:rFonts w:ascii="Calibri" w:hAnsi="Calibri" w:cs="Courier New"/>
        </w:rPr>
        <w:t>expertisation</w:t>
      </w:r>
      <w:proofErr w:type="spellEnd"/>
      <w:r>
        <w:rPr>
          <w:rFonts w:ascii="Calibri" w:hAnsi="Calibri" w:cs="Courier New"/>
        </w:rPr>
        <w:t xml:space="preserve"> et à l’augmentation du temps de gestion administrative pour les paysans. Il faut maintenant être ingénieur agronome pour gérer des semences, réservant ce domaine à des élites scientifiques.</w:t>
      </w:r>
    </w:p>
    <w:p w:rsidR="0008247C" w:rsidRDefault="0008247C">
      <w:pPr>
        <w:pStyle w:val="Textebrut"/>
        <w:jc w:val="both"/>
        <w:rPr>
          <w:rFonts w:ascii="Calibri" w:hAnsi="Calibri" w:cs="Courier New"/>
          <w:sz w:val="8"/>
          <w:szCs w:val="8"/>
        </w:rPr>
      </w:pPr>
    </w:p>
    <w:p w:rsidR="0008247C" w:rsidRDefault="00464A59">
      <w:pPr>
        <w:pStyle w:val="Textebrut"/>
        <w:jc w:val="both"/>
        <w:rPr>
          <w:rFonts w:ascii="Calibri" w:hAnsi="Calibri" w:cs="Courier New"/>
        </w:rPr>
      </w:pPr>
      <w:r>
        <w:rPr>
          <w:rFonts w:ascii="Calibri" w:hAnsi="Calibri" w:cs="Courier New"/>
          <w:noProof/>
          <w:lang w:eastAsia="fr-FR"/>
        </w:rPr>
        <w:drawing>
          <wp:anchor distT="0" distB="0" distL="114300" distR="114300" simplePos="0" relativeHeight="251660288" behindDoc="1" locked="0" layoutInCell="1" allowOverlap="1">
            <wp:simplePos x="0" y="0"/>
            <wp:positionH relativeFrom="column">
              <wp:posOffset>-86018</wp:posOffset>
            </wp:positionH>
            <wp:positionV relativeFrom="paragraph">
              <wp:posOffset>1117453</wp:posOffset>
            </wp:positionV>
            <wp:extent cx="1625112" cy="1195754"/>
            <wp:effectExtent l="19050" t="0" r="0" b="0"/>
            <wp:wrapNone/>
            <wp:docPr id="2" name="Image 8" descr="escargot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625112" cy="1195754"/>
                    </a:xfrm>
                    <a:prstGeom prst="rect">
                      <a:avLst/>
                    </a:prstGeom>
                    <a:noFill/>
                    <a:ln>
                      <a:noFill/>
                      <a:prstDash/>
                    </a:ln>
                  </pic:spPr>
                </pic:pic>
              </a:graphicData>
            </a:graphic>
          </wp:anchor>
        </w:drawing>
      </w:r>
      <w:r w:rsidR="00F61464">
        <w:rPr>
          <w:rFonts w:ascii="Calibri" w:hAnsi="Calibri" w:cs="Courier New"/>
        </w:rPr>
        <w:t xml:space="preserve">- Les maladies deviennent plus généralisées et incontrôlables. L’intensification des cultures comme de l’élevage peut entraîner des désastres, comme ce fut le cas avec la vache folle pour les animaux ou le phytophtora pour les aulnes (arbre). Par conséquent si une maladie attaque une variété précise de blé, ce sont des quantités colossales et de très nombreux producteurs touchés, ce qui entraîne d’avantages d’impacts négatifs sur </w:t>
      </w:r>
      <w:r w:rsidR="00A57EED">
        <w:rPr>
          <w:rFonts w:ascii="Calibri" w:hAnsi="Calibri" w:cs="Courier New"/>
        </w:rPr>
        <w:t>la population mondiale. Si on la</w:t>
      </w:r>
      <w:r w:rsidR="00F61464">
        <w:rPr>
          <w:rFonts w:ascii="Calibri" w:hAnsi="Calibri" w:cs="Courier New"/>
        </w:rPr>
        <w:t>issait les agriculteurs développer des variétés très différentes, on éviterait ce problème.</w:t>
      </w:r>
    </w:p>
    <w:p w:rsidR="00214428" w:rsidRDefault="00214428">
      <w:pPr>
        <w:pStyle w:val="Textebrut"/>
        <w:jc w:val="both"/>
        <w:rPr>
          <w:rFonts w:ascii="Calibri" w:hAnsi="Calibri" w:cs="Courier New"/>
        </w:rPr>
      </w:pPr>
    </w:p>
    <w:p w:rsidR="00BA5BC1" w:rsidRDefault="00BA5BC1">
      <w:pPr>
        <w:pStyle w:val="Textebrut"/>
        <w:jc w:val="both"/>
        <w:rPr>
          <w:rFonts w:ascii="Calibri" w:hAnsi="Calibri" w:cs="Courier New"/>
        </w:rPr>
      </w:pPr>
    </w:p>
    <w:p w:rsidR="00214428" w:rsidRDefault="00214428">
      <w:pPr>
        <w:pStyle w:val="Textebrut"/>
        <w:jc w:val="both"/>
        <w:rPr>
          <w:rFonts w:ascii="Calibri" w:hAnsi="Calibri" w:cs="Courier New"/>
        </w:rPr>
      </w:pPr>
    </w:p>
    <w:p w:rsidR="00BA5BC1" w:rsidRDefault="00BA5BC1">
      <w:pPr>
        <w:pStyle w:val="Textebrut"/>
        <w:jc w:val="both"/>
      </w:pPr>
      <w:r>
        <w:pict>
          <v:shape id="_x0000_s1027" type="#_x0000_t202" style="position:absolute;left:0;text-align:left;margin-left:96.15pt;margin-top:4.75pt;width:284.4pt;height:32.5pt;z-index:2;visibility:visible;mso-wrap-style:none" filled="f" strokeweight=".06pt">
            <v:textbox style="mso-rotate-with-shape:t">
              <w:txbxContent>
                <w:p w:rsidR="0008247C" w:rsidRDefault="00F61464">
                  <w:pPr>
                    <w:pStyle w:val="Sansinterligne"/>
                  </w:pPr>
                  <w:r>
                    <w:rPr>
                      <w:i/>
                      <w:sz w:val="20"/>
                      <w:szCs w:val="20"/>
                    </w:rPr>
                    <w:t>Contact et inscription mailing-</w:t>
                  </w:r>
                  <w:proofErr w:type="spellStart"/>
                  <w:r>
                    <w:rPr>
                      <w:i/>
                      <w:sz w:val="20"/>
                      <w:szCs w:val="20"/>
                    </w:rPr>
                    <w:t>list</w:t>
                  </w:r>
                  <w:proofErr w:type="spellEnd"/>
                  <w:r>
                    <w:rPr>
                      <w:sz w:val="20"/>
                      <w:szCs w:val="20"/>
                    </w:rPr>
                    <w:t xml:space="preserve"> : </w:t>
                  </w:r>
                  <w:hyperlink r:id="rId9" w:history="1">
                    <w:r>
                      <w:rPr>
                        <w:sz w:val="20"/>
                        <w:szCs w:val="20"/>
                      </w:rPr>
                      <w:t>escargots.solidaires@riseup.net</w:t>
                    </w:r>
                  </w:hyperlink>
                </w:p>
                <w:p w:rsidR="0008247C" w:rsidRDefault="00F61464">
                  <w:pPr>
                    <w:pStyle w:val="Sansinterligne"/>
                  </w:pPr>
                  <w:r>
                    <w:rPr>
                      <w:i/>
                      <w:sz w:val="20"/>
                      <w:szCs w:val="20"/>
                    </w:rPr>
                    <w:t>Plus de textes</w:t>
                  </w:r>
                  <w:r>
                    <w:rPr>
                      <w:sz w:val="20"/>
                      <w:szCs w:val="20"/>
                    </w:rPr>
                    <w:t xml:space="preserve"> : </w:t>
                  </w:r>
                  <w:r>
                    <w:rPr>
                      <w:sz w:val="20"/>
                      <w:szCs w:val="20"/>
                      <w:u w:val="single"/>
                    </w:rPr>
                    <w:t>escargotssolidaires.noblogs.org</w:t>
                  </w:r>
                </w:p>
              </w:txbxContent>
            </v:textbox>
          </v:shape>
        </w:pict>
      </w:r>
    </w:p>
    <w:p w:rsidR="00BA5BC1" w:rsidRDefault="00BA5BC1">
      <w:pPr>
        <w:pStyle w:val="Textebrut"/>
        <w:jc w:val="both"/>
      </w:pPr>
    </w:p>
    <w:p w:rsidR="00BA5BC1" w:rsidRDefault="00BA5BC1">
      <w:pPr>
        <w:pStyle w:val="Textebrut"/>
        <w:jc w:val="both"/>
      </w:pPr>
    </w:p>
    <w:p w:rsidR="00BA5BC1" w:rsidRDefault="00BA5BC1">
      <w:pPr>
        <w:pStyle w:val="Textebrut"/>
        <w:jc w:val="both"/>
      </w:pPr>
    </w:p>
    <w:p w:rsidR="00BA5BC1" w:rsidRPr="00BA5BC1" w:rsidRDefault="00BA5BC1" w:rsidP="00BA5BC1">
      <w:pPr>
        <w:pStyle w:val="Textebrut"/>
        <w:ind w:left="993" w:firstLine="283"/>
        <w:jc w:val="center"/>
        <w:rPr>
          <w:rFonts w:ascii="Calibri" w:hAnsi="Calibri" w:cs="Courier New"/>
          <w:b/>
          <w:sz w:val="40"/>
          <w:szCs w:val="22"/>
        </w:rPr>
      </w:pPr>
      <w:r w:rsidRPr="00BA5BC1">
        <w:rPr>
          <w:rFonts w:ascii="Calibri" w:hAnsi="Calibri" w:cs="Courier New"/>
          <w:b/>
          <w:noProof/>
          <w:sz w:val="40"/>
          <w:szCs w:val="22"/>
          <w:lang w:eastAsia="fr-FR"/>
        </w:rPr>
        <w:drawing>
          <wp:anchor distT="0" distB="0" distL="114300" distR="114300" simplePos="0" relativeHeight="251663360" behindDoc="1" locked="0" layoutInCell="1" allowOverlap="1">
            <wp:simplePos x="0" y="0"/>
            <wp:positionH relativeFrom="column">
              <wp:posOffset>-2736</wp:posOffset>
            </wp:positionH>
            <wp:positionV relativeFrom="paragraph">
              <wp:posOffset>-140237</wp:posOffset>
            </wp:positionV>
            <wp:extent cx="1528396" cy="993530"/>
            <wp:effectExtent l="19050" t="0" r="0" b="0"/>
            <wp:wrapNone/>
            <wp:docPr id="3" name="Image 5" descr="escargo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528396" cy="993530"/>
                    </a:xfrm>
                    <a:prstGeom prst="rect">
                      <a:avLst/>
                    </a:prstGeom>
                    <a:noFill/>
                    <a:ln>
                      <a:noFill/>
                      <a:prstDash/>
                    </a:ln>
                  </pic:spPr>
                </pic:pic>
              </a:graphicData>
            </a:graphic>
          </wp:anchor>
        </w:drawing>
      </w:r>
      <w:r w:rsidRPr="00BA5BC1">
        <w:rPr>
          <w:rFonts w:ascii="Calibri" w:hAnsi="Calibri" w:cs="Courier New"/>
          <w:b/>
          <w:sz w:val="40"/>
          <w:szCs w:val="22"/>
        </w:rPr>
        <w:t>LES SEMENCES P</w:t>
      </w:r>
      <w:bookmarkStart w:id="0" w:name="_GoBack"/>
      <w:bookmarkEnd w:id="0"/>
      <w:r w:rsidRPr="00BA5BC1">
        <w:rPr>
          <w:rFonts w:ascii="Calibri" w:hAnsi="Calibri" w:cs="Courier New"/>
          <w:b/>
          <w:sz w:val="40"/>
          <w:szCs w:val="22"/>
        </w:rPr>
        <w:t>AYSANNES,</w:t>
      </w:r>
    </w:p>
    <w:p w:rsidR="00BA5BC1" w:rsidRPr="00BA5BC1" w:rsidRDefault="00BA5BC1" w:rsidP="00BA5BC1">
      <w:pPr>
        <w:pStyle w:val="Textebrut"/>
        <w:ind w:left="1134" w:firstLine="142"/>
        <w:jc w:val="center"/>
        <w:rPr>
          <w:sz w:val="28"/>
        </w:rPr>
      </w:pPr>
      <w:proofErr w:type="gramStart"/>
      <w:r w:rsidRPr="00BA5BC1">
        <w:rPr>
          <w:rFonts w:ascii="Calibri" w:hAnsi="Calibri" w:cs="Courier New"/>
          <w:b/>
          <w:sz w:val="40"/>
          <w:szCs w:val="22"/>
        </w:rPr>
        <w:t>les</w:t>
      </w:r>
      <w:proofErr w:type="gramEnd"/>
      <w:r w:rsidRPr="00BA5BC1">
        <w:rPr>
          <w:rFonts w:ascii="Calibri" w:hAnsi="Calibri" w:cs="Courier New"/>
          <w:b/>
          <w:sz w:val="40"/>
          <w:szCs w:val="22"/>
        </w:rPr>
        <w:t xml:space="preserve"> graines de la colère</w:t>
      </w:r>
    </w:p>
    <w:p w:rsidR="00BA5BC1" w:rsidRDefault="00BA5BC1" w:rsidP="00BA5BC1">
      <w:pPr>
        <w:pStyle w:val="Textebrut"/>
        <w:jc w:val="both"/>
        <w:rPr>
          <w:rFonts w:ascii="Calibri" w:hAnsi="Calibri" w:cs="Courier New"/>
          <w:color w:val="000000"/>
          <w:sz w:val="22"/>
        </w:rPr>
      </w:pPr>
    </w:p>
    <w:p w:rsidR="00BA5BC1" w:rsidRDefault="00BA5BC1" w:rsidP="00BA5BC1">
      <w:pPr>
        <w:pStyle w:val="Textebrut"/>
        <w:jc w:val="both"/>
        <w:rPr>
          <w:rFonts w:ascii="Calibri" w:hAnsi="Calibri" w:cs="Courier New"/>
          <w:color w:val="000000"/>
          <w:sz w:val="22"/>
        </w:rPr>
      </w:pPr>
    </w:p>
    <w:p w:rsidR="00BA5BC1" w:rsidRDefault="00BA5BC1" w:rsidP="00BA5BC1">
      <w:pPr>
        <w:pStyle w:val="Textebrut"/>
        <w:jc w:val="both"/>
      </w:pPr>
      <w:r>
        <w:rPr>
          <w:rFonts w:ascii="Calibri" w:hAnsi="Calibri" w:cs="Courier New"/>
          <w:color w:val="000000"/>
          <w:sz w:val="22"/>
        </w:rPr>
        <w:t>Pourquoi parle-t-on des semences paysannes? Et c'est quoi?</w:t>
      </w:r>
    </w:p>
    <w:p w:rsidR="00BA5BC1" w:rsidRDefault="00BA5BC1" w:rsidP="00BA5BC1">
      <w:pPr>
        <w:pStyle w:val="Textebrut"/>
        <w:jc w:val="both"/>
        <w:rPr>
          <w:rFonts w:ascii="Calibri" w:hAnsi="Calibri" w:cs="Courier New"/>
          <w:color w:val="000000"/>
          <w:sz w:val="22"/>
        </w:rPr>
      </w:pPr>
    </w:p>
    <w:p w:rsidR="00BA5BC1" w:rsidRDefault="00BA5BC1" w:rsidP="00BA5BC1">
      <w:pPr>
        <w:pStyle w:val="Textebrut"/>
        <w:ind w:firstLine="708"/>
        <w:jc w:val="both"/>
        <w:rPr>
          <w:rFonts w:ascii="Calibri" w:hAnsi="Calibri" w:cs="Courier New"/>
          <w:color w:val="000000"/>
          <w:sz w:val="22"/>
        </w:rPr>
      </w:pPr>
      <w:r w:rsidRPr="00A57EED">
        <w:rPr>
          <w:rFonts w:ascii="Calibri" w:hAnsi="Calibri" w:cs="Courier New"/>
          <w:color w:val="000000"/>
          <w:sz w:val="22"/>
        </w:rPr>
        <w:t xml:space="preserve">Depuis la sédentarisation des humains dans le croissant fertile il y a 12 à 14 000 ans, nous ne cessons de sélectionner les semences. Une semence qui disparait, ce sont plusieurs siècles à plusieurs millénaires de travail et de connaissances. Toutes nos prouesses des laboratoires semenciers se basent sur ces plantes-là. Ces plantes qui se sont adaptées à chaque sol de chaque territoire et qui sont génétiquement très différentes. </w:t>
      </w:r>
    </w:p>
    <w:p w:rsidR="00BA5BC1" w:rsidRDefault="00BA5BC1" w:rsidP="00BA5BC1">
      <w:pPr>
        <w:pStyle w:val="Textebrut"/>
        <w:ind w:firstLine="708"/>
        <w:jc w:val="both"/>
        <w:rPr>
          <w:rFonts w:ascii="Calibri" w:hAnsi="Calibri" w:cs="Courier New"/>
          <w:color w:val="000000"/>
          <w:sz w:val="22"/>
        </w:rPr>
      </w:pPr>
    </w:p>
    <w:p w:rsidR="00BA5BC1" w:rsidRDefault="00BA5BC1" w:rsidP="00BA5BC1">
      <w:pPr>
        <w:pStyle w:val="Textebrut"/>
        <w:ind w:firstLine="708"/>
        <w:jc w:val="both"/>
        <w:rPr>
          <w:rFonts w:ascii="Calibri" w:hAnsi="Calibri" w:cs="Courier New"/>
          <w:color w:val="000000"/>
          <w:sz w:val="22"/>
        </w:rPr>
      </w:pPr>
      <w:r w:rsidRPr="00A57EED">
        <w:rPr>
          <w:rFonts w:ascii="Calibri" w:hAnsi="Calibri" w:cs="Courier New"/>
          <w:color w:val="000000"/>
          <w:sz w:val="22"/>
        </w:rPr>
        <w:t xml:space="preserve">Aujourd’hui parmi ces graines, seuls quelques dizaines sont autorisées à la commercialisation, et sont regroupées dans un catalogue officiel, tenu par l’Europe. Toutes les autres graines, on estime à plusieurs centaines de milliers de variétés, sont considérées comme étant des variétés anciennes. </w:t>
      </w:r>
    </w:p>
    <w:p w:rsidR="00BA5BC1" w:rsidRPr="00A57EED" w:rsidRDefault="00BA5BC1" w:rsidP="00BA5BC1">
      <w:pPr>
        <w:pStyle w:val="Textebrut"/>
        <w:ind w:firstLine="708"/>
        <w:jc w:val="both"/>
        <w:rPr>
          <w:rFonts w:ascii="Calibri" w:hAnsi="Calibri" w:cs="Courier New"/>
          <w:color w:val="000000"/>
          <w:sz w:val="22"/>
        </w:rPr>
      </w:pPr>
    </w:p>
    <w:p w:rsidR="00BA5BC1" w:rsidRDefault="00BA5BC1" w:rsidP="00BA5BC1">
      <w:pPr>
        <w:pStyle w:val="Textebrut"/>
        <w:ind w:firstLine="708"/>
        <w:jc w:val="both"/>
      </w:pPr>
      <w:r w:rsidRPr="00A57EED">
        <w:rPr>
          <w:rFonts w:ascii="Calibri" w:hAnsi="Calibri" w:cs="Courier New"/>
          <w:color w:val="000000"/>
          <w:sz w:val="22"/>
        </w:rPr>
        <w:t>Par ailleurs, l</w:t>
      </w:r>
      <w:r>
        <w:rPr>
          <w:rFonts w:ascii="Calibri" w:hAnsi="Calibri" w:cs="Courier New"/>
          <w:color w:val="000000"/>
          <w:sz w:val="22"/>
        </w:rPr>
        <w:t xml:space="preserve">orsqu’un paysan achète des semences inscrites et qu'il décide l'année suivante de semer les graines issues de sa récolte, on parle de </w:t>
      </w:r>
      <w:r>
        <w:rPr>
          <w:rFonts w:ascii="Calibri" w:hAnsi="Calibri" w:cs="Courier New"/>
          <w:color w:val="000000"/>
          <w:sz w:val="22"/>
          <w:u w:val="single"/>
        </w:rPr>
        <w:t>semences de ferme</w:t>
      </w:r>
      <w:r>
        <w:rPr>
          <w:rFonts w:ascii="Calibri" w:hAnsi="Calibri" w:cs="Courier New"/>
          <w:color w:val="000000"/>
          <w:sz w:val="22"/>
        </w:rPr>
        <w:t>.</w:t>
      </w:r>
    </w:p>
    <w:p w:rsidR="00BA5BC1" w:rsidRDefault="00BA5BC1" w:rsidP="00BA5BC1">
      <w:pPr>
        <w:pStyle w:val="Textebrut"/>
        <w:jc w:val="both"/>
        <w:rPr>
          <w:rFonts w:ascii="Calibri" w:hAnsi="Calibri" w:cs="Courier New"/>
          <w:strike/>
          <w:color w:val="000000"/>
          <w:sz w:val="22"/>
        </w:rPr>
      </w:pPr>
    </w:p>
    <w:p w:rsidR="00BA5BC1" w:rsidRDefault="00BA5BC1" w:rsidP="00BA5BC1">
      <w:pPr>
        <w:pStyle w:val="Textebrut"/>
        <w:ind w:firstLine="708"/>
        <w:jc w:val="both"/>
      </w:pPr>
      <w:r>
        <w:rPr>
          <w:rFonts w:ascii="Calibri" w:hAnsi="Calibri" w:cs="Courier New"/>
          <w:color w:val="000000"/>
          <w:sz w:val="22"/>
        </w:rPr>
        <w:t>Le terme « semences paysannes » regroupe lui à la fois les « semences de ferme » ainsi que des semences de variétés non inscrites au catalogue européen.</w:t>
      </w:r>
    </w:p>
    <w:p w:rsidR="00BA5BC1" w:rsidRDefault="00BA5BC1" w:rsidP="00BA5BC1">
      <w:pPr>
        <w:pStyle w:val="Textebrut"/>
        <w:jc w:val="both"/>
        <w:rPr>
          <w:rFonts w:ascii="Calibri" w:hAnsi="Calibri" w:cs="Courier New"/>
          <w:color w:val="000000"/>
          <w:sz w:val="22"/>
        </w:rPr>
      </w:pPr>
    </w:p>
    <w:p w:rsidR="00BA5BC1" w:rsidRDefault="00BA5BC1" w:rsidP="00BA5BC1">
      <w:pPr>
        <w:pStyle w:val="Textebrut"/>
        <w:ind w:firstLine="708"/>
        <w:jc w:val="both"/>
        <w:rPr>
          <w:rFonts w:ascii="Calibri" w:hAnsi="Calibri" w:cs="Courier New"/>
          <w:color w:val="000000"/>
          <w:sz w:val="22"/>
        </w:rPr>
      </w:pPr>
      <w:r>
        <w:rPr>
          <w:rFonts w:ascii="Calibri" w:hAnsi="Calibri" w:cs="Courier New"/>
          <w:color w:val="000000"/>
          <w:sz w:val="22"/>
        </w:rPr>
        <w:t xml:space="preserve">Aujourd'hui, les semences paysannes font polémique car l'industrie semencière et la législation Européenne veulent limiter voire interdire le libre échange des graines entre producteur, la liberté de stocker et d’utiliser ces graines. L’esprit des lois actuelles tend à obliger les paysans de passer par des semenciers industriels par de multiples stratégies. </w:t>
      </w:r>
    </w:p>
    <w:p w:rsidR="00BA5BC1" w:rsidRDefault="00BA5BC1" w:rsidP="00BA5BC1">
      <w:pPr>
        <w:pStyle w:val="Textebrut"/>
        <w:jc w:val="both"/>
      </w:pPr>
    </w:p>
    <w:p w:rsidR="00BA5BC1" w:rsidRDefault="00BA5BC1" w:rsidP="00BA5BC1">
      <w:pPr>
        <w:pStyle w:val="Textebrut"/>
        <w:ind w:firstLine="708"/>
        <w:jc w:val="both"/>
      </w:pPr>
      <w:r>
        <w:rPr>
          <w:rFonts w:ascii="Calibri" w:hAnsi="Calibri" w:cs="Courier New"/>
          <w:sz w:val="22"/>
        </w:rPr>
        <w:t>Rappelons que stocker ses semences demande un travail supplémentaire de la part des paysans, que ça nécessite de la place (on parle de tonnes) et un savoir-faire pour ne pas risquer de perdre une récolte entière. Peu de paysans s'y risquent, seule une poignée de passionnés se lancent dans cette aventure. Autrement dit,  les groupes de l'industrie semencière s'acharnent à imposer des lois qui concernent 10% des paysans du milieu agricole.</w:t>
      </w:r>
    </w:p>
    <w:p w:rsidR="00214428" w:rsidRDefault="00214428">
      <w:pPr>
        <w:pStyle w:val="Textebrut"/>
        <w:jc w:val="both"/>
      </w:pPr>
    </w:p>
    <w:sectPr w:rsidR="00214428" w:rsidSect="00214428">
      <w:pgSz w:w="16838" w:h="11906" w:orient="landscape"/>
      <w:pgMar w:top="567" w:right="536" w:bottom="426" w:left="567" w:header="720" w:footer="720" w:gutter="0"/>
      <w:cols w:num="2" w:space="720" w:equalWidth="0">
        <w:col w:w="7599" w:space="536"/>
        <w:col w:w="760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2B" w:rsidRDefault="002A402B" w:rsidP="0008247C">
      <w:pPr>
        <w:spacing w:after="0" w:line="240" w:lineRule="auto"/>
      </w:pPr>
      <w:r>
        <w:separator/>
      </w:r>
    </w:p>
  </w:endnote>
  <w:endnote w:type="continuationSeparator" w:id="0">
    <w:p w:rsidR="002A402B" w:rsidRDefault="002A402B" w:rsidP="000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hit Hindi">
    <w:charset w:val="00"/>
    <w:family w:val="auto"/>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2B" w:rsidRDefault="002A402B" w:rsidP="0008247C">
      <w:pPr>
        <w:spacing w:after="0" w:line="240" w:lineRule="auto"/>
      </w:pPr>
      <w:r w:rsidRPr="0008247C">
        <w:rPr>
          <w:color w:val="000000"/>
        </w:rPr>
        <w:separator/>
      </w:r>
    </w:p>
  </w:footnote>
  <w:footnote w:type="continuationSeparator" w:id="0">
    <w:p w:rsidR="002A402B" w:rsidRDefault="002A402B" w:rsidP="0008247C">
      <w:pPr>
        <w:spacing w:after="0" w:line="240" w:lineRule="auto"/>
      </w:pPr>
      <w:r>
        <w:continuationSeparator/>
      </w:r>
    </w:p>
  </w:footnote>
  <w:footnote w:id="1">
    <w:p w:rsidR="0008247C" w:rsidRDefault="00F61464">
      <w:pPr>
        <w:pStyle w:val="Textebrut"/>
        <w:jc w:val="both"/>
      </w:pPr>
      <w:r w:rsidRPr="0008247C">
        <w:rPr>
          <w:rStyle w:val="Appelnotedebasdep"/>
        </w:rPr>
        <w:footnoteRef/>
      </w:r>
      <w:r w:rsidR="002D0CC7">
        <w:rPr>
          <w:rFonts w:ascii="Calibri" w:hAnsi="Calibri"/>
          <w:sz w:val="20"/>
          <w:szCs w:val="20"/>
        </w:rPr>
        <w:t xml:space="preserve"> </w:t>
      </w:r>
      <w:r>
        <w:rPr>
          <w:rFonts w:ascii="Calibri" w:hAnsi="Calibri"/>
          <w:sz w:val="20"/>
          <w:szCs w:val="20"/>
        </w:rPr>
        <w:t>A cause d’un matériel spécifique onéreux (mini-batteuses, trieuse à spirale...), un protocole de culture et de suivi stricts, des échantillons d'analyses qui coûtent.</w:t>
      </w:r>
    </w:p>
  </w:footnote>
  <w:footnote w:id="2">
    <w:p w:rsidR="0008247C" w:rsidRDefault="00F61464">
      <w:pPr>
        <w:pStyle w:val="Notedebasdepage"/>
      </w:pPr>
      <w:r w:rsidRPr="0008247C">
        <w:rPr>
          <w:rStyle w:val="Appelnotedebasdep"/>
        </w:rPr>
        <w:footnoteRef/>
      </w:r>
      <w:r>
        <w:t xml:space="preserve">Se référer au procès de </w:t>
      </w:r>
      <w:proofErr w:type="spellStart"/>
      <w:r>
        <w:t>Kokopelli</w:t>
      </w:r>
      <w:proofErr w:type="spellEnd"/>
      <w:r>
        <w:t xml:space="preserve"> : </w:t>
      </w:r>
      <w:hyperlink r:id="rId1" w:history="1">
        <w:r w:rsidRPr="002D0CC7">
          <w:rPr>
            <w:u w:val="single"/>
          </w:rPr>
          <w:t>https://kokopelli-semences.fr/juridique/proces_perdu</w:t>
        </w:r>
      </w:hyperlink>
    </w:p>
  </w:footnote>
  <w:footnote w:id="3">
    <w:p w:rsidR="0008247C" w:rsidRDefault="00F61464">
      <w:pPr>
        <w:pStyle w:val="Notedebasdepage"/>
      </w:pPr>
      <w:r w:rsidRPr="0008247C">
        <w:rPr>
          <w:rStyle w:val="Appelnotedebasdep"/>
        </w:rPr>
        <w:footnoteRef/>
      </w:r>
      <w:r>
        <w:t xml:space="preserve">Depuis 2013, Monsanto ne peut plus poursuivre les agriculteurs contaminés … à moins de 1% de semences OGM. </w:t>
      </w:r>
      <w:hyperlink r:id="rId2" w:history="1">
        <w:r w:rsidRPr="002D0CC7">
          <w:rPr>
            <w:u w:val="single"/>
          </w:rPr>
          <w:t>http://www.infogm.org/spip.php?article5497</w:t>
        </w:r>
      </w:hyperlink>
      <w:r w:rsidR="002D0CC7">
        <w:t xml:space="preserve">  </w:t>
      </w:r>
    </w:p>
  </w:footnote>
  <w:footnote w:id="4">
    <w:p w:rsidR="002D0CC7" w:rsidRDefault="002D0CC7">
      <w:pPr>
        <w:pStyle w:val="Notedebasdepage"/>
      </w:pPr>
      <w:r w:rsidRPr="002D0CC7">
        <w:rPr>
          <w:rStyle w:val="Appelnotedebasdep"/>
          <w:sz w:val="18"/>
        </w:rPr>
        <w:footnoteRef/>
      </w:r>
      <w:r w:rsidRPr="002D0CC7">
        <w:rPr>
          <w:sz w:val="18"/>
        </w:rPr>
        <w:t xml:space="preserve"> </w:t>
      </w:r>
      <w:proofErr w:type="gramStart"/>
      <w:r w:rsidRPr="002D0CC7">
        <w:rPr>
          <w:sz w:val="18"/>
        </w:rPr>
        <w:t>celui</w:t>
      </w:r>
      <w:proofErr w:type="gramEnd"/>
      <w:r w:rsidRPr="002D0CC7">
        <w:rPr>
          <w:sz w:val="18"/>
        </w:rPr>
        <w:t xml:space="preserve"> qui a produit par hasard ou par sélection volontaire une semence de « variété nouvelle »</w:t>
      </w:r>
    </w:p>
  </w:footnote>
  <w:footnote w:id="5">
    <w:p w:rsidR="0008247C" w:rsidRDefault="00F61464">
      <w:pPr>
        <w:pStyle w:val="Notedebasdepage"/>
      </w:pPr>
      <w:r w:rsidRPr="0008247C">
        <w:rPr>
          <w:rStyle w:val="Appelnotedebasdep"/>
        </w:rPr>
        <w:footnoteRef/>
      </w:r>
      <w:hyperlink r:id="rId3" w:history="1">
        <w:r w:rsidRPr="002D0CC7">
          <w:rPr>
            <w:u w:val="single"/>
          </w:rPr>
          <w:t>http://www.alternativesante.com/capsulesante/nouvelles/nouvelles.asp?Nopetitesnouvelle</w:t>
        </w:r>
        <w:r w:rsidRPr="002D0CC7">
          <w:rPr>
            <w:u w:val="single"/>
          </w:rPr>
          <w:t>s=1&amp;NoCapsules=1508</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19F"/>
    <w:multiLevelType w:val="multilevel"/>
    <w:tmpl w:val="F91A2524"/>
    <w:styleLink w:val="WWNum2"/>
    <w:lvl w:ilvl="0">
      <w:numFmt w:val="bullet"/>
      <w:lvlText w:val=""/>
      <w:lvlJc w:val="left"/>
      <w:rPr>
        <w:rFonts w:cs="Calibri"/>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5612336B"/>
    <w:multiLevelType w:val="multilevel"/>
    <w:tmpl w:val="AD68FCB4"/>
    <w:styleLink w:val="WWNum1"/>
    <w:lvl w:ilvl="0">
      <w:numFmt w:val="bullet"/>
      <w:lvlText w:val="-"/>
      <w:lvlJc w:val="left"/>
      <w:rPr>
        <w:rFonts w:cs="Calibri"/>
        <w:color w:val="8064A2"/>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70610035"/>
    <w:multiLevelType w:val="hybridMultilevel"/>
    <w:tmpl w:val="2E26ECD8"/>
    <w:lvl w:ilvl="0" w:tplc="139C9EF2">
      <w:numFmt w:val="bullet"/>
      <w:lvlText w:val=""/>
      <w:lvlJc w:val="left"/>
      <w:pPr>
        <w:ind w:left="720" w:hanging="360"/>
      </w:pPr>
      <w:rPr>
        <w:rFonts w:ascii="Symbol" w:eastAsia="DejaVu Sans"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rsids>
    <w:rsidRoot w:val="0008247C"/>
    <w:rsid w:val="0004521B"/>
    <w:rsid w:val="0008247C"/>
    <w:rsid w:val="00214428"/>
    <w:rsid w:val="002A402B"/>
    <w:rsid w:val="002D0CC7"/>
    <w:rsid w:val="00464A59"/>
    <w:rsid w:val="009E5516"/>
    <w:rsid w:val="00A57EED"/>
    <w:rsid w:val="00BA5BC1"/>
    <w:rsid w:val="00CC1F99"/>
    <w:rsid w:val="00F614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jaVu Sans"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247C"/>
    <w:pPr>
      <w:widowControl/>
    </w:pPr>
  </w:style>
  <w:style w:type="paragraph" w:customStyle="1" w:styleId="Heading">
    <w:name w:val="Heading"/>
    <w:basedOn w:val="Standard"/>
    <w:next w:val="Textbody"/>
    <w:rsid w:val="0008247C"/>
    <w:pPr>
      <w:keepNext/>
      <w:spacing w:before="240" w:after="120"/>
    </w:pPr>
    <w:rPr>
      <w:rFonts w:ascii="Arial" w:hAnsi="Arial" w:cs="Lohit Hindi"/>
      <w:sz w:val="28"/>
      <w:szCs w:val="28"/>
    </w:rPr>
  </w:style>
  <w:style w:type="paragraph" w:customStyle="1" w:styleId="Textbody">
    <w:name w:val="Text body"/>
    <w:basedOn w:val="Standard"/>
    <w:rsid w:val="0008247C"/>
    <w:pPr>
      <w:spacing w:after="120"/>
    </w:pPr>
  </w:style>
  <w:style w:type="paragraph" w:styleId="Liste">
    <w:name w:val="List"/>
    <w:basedOn w:val="Textbody"/>
    <w:rsid w:val="0008247C"/>
    <w:rPr>
      <w:rFonts w:cs="Lohit Hindi"/>
      <w:sz w:val="24"/>
    </w:rPr>
  </w:style>
  <w:style w:type="paragraph" w:customStyle="1" w:styleId="Caption">
    <w:name w:val="Caption"/>
    <w:basedOn w:val="Standard"/>
    <w:rsid w:val="0008247C"/>
    <w:pPr>
      <w:suppressLineNumbers/>
      <w:spacing w:before="120" w:after="120"/>
    </w:pPr>
    <w:rPr>
      <w:rFonts w:cs="Lohit Hindi"/>
      <w:i/>
      <w:iCs/>
      <w:sz w:val="24"/>
      <w:szCs w:val="24"/>
    </w:rPr>
  </w:style>
  <w:style w:type="paragraph" w:customStyle="1" w:styleId="Index">
    <w:name w:val="Index"/>
    <w:basedOn w:val="Standard"/>
    <w:rsid w:val="0008247C"/>
    <w:pPr>
      <w:suppressLineNumbers/>
    </w:pPr>
    <w:rPr>
      <w:rFonts w:cs="Lohit Hindi"/>
      <w:sz w:val="24"/>
    </w:rPr>
  </w:style>
  <w:style w:type="paragraph" w:styleId="Paragraphedeliste">
    <w:name w:val="List Paragraph"/>
    <w:basedOn w:val="Standard"/>
    <w:rsid w:val="0008247C"/>
    <w:pPr>
      <w:ind w:left="720"/>
    </w:pPr>
  </w:style>
  <w:style w:type="paragraph" w:styleId="Textebrut">
    <w:name w:val="Plain Text"/>
    <w:basedOn w:val="Standard"/>
    <w:rsid w:val="0008247C"/>
    <w:pPr>
      <w:spacing w:after="0" w:line="240" w:lineRule="auto"/>
    </w:pPr>
    <w:rPr>
      <w:rFonts w:ascii="Consolas" w:hAnsi="Consolas"/>
      <w:sz w:val="21"/>
      <w:szCs w:val="21"/>
    </w:rPr>
  </w:style>
  <w:style w:type="paragraph" w:styleId="Notedebasdepage">
    <w:name w:val="footnote text"/>
    <w:basedOn w:val="Standard"/>
    <w:rsid w:val="0008247C"/>
    <w:pPr>
      <w:spacing w:after="0" w:line="240" w:lineRule="auto"/>
    </w:pPr>
    <w:rPr>
      <w:sz w:val="20"/>
      <w:szCs w:val="20"/>
    </w:rPr>
  </w:style>
  <w:style w:type="paragraph" w:styleId="Sansinterligne">
    <w:name w:val="No Spacing"/>
    <w:rsid w:val="0008247C"/>
    <w:pPr>
      <w:widowControl/>
      <w:spacing w:after="0" w:line="240" w:lineRule="auto"/>
    </w:pPr>
  </w:style>
  <w:style w:type="paragraph" w:customStyle="1" w:styleId="Footnote">
    <w:name w:val="Footnote"/>
    <w:basedOn w:val="Standard"/>
    <w:rsid w:val="0008247C"/>
  </w:style>
  <w:style w:type="paragraph" w:customStyle="1" w:styleId="Framecontents">
    <w:name w:val="Frame contents"/>
    <w:basedOn w:val="Textbody"/>
    <w:rsid w:val="0008247C"/>
  </w:style>
  <w:style w:type="character" w:customStyle="1" w:styleId="TextebrutCar">
    <w:name w:val="Texte brut Car"/>
    <w:basedOn w:val="Policepardfaut"/>
    <w:rsid w:val="0008247C"/>
    <w:rPr>
      <w:rFonts w:ascii="Consolas" w:hAnsi="Consolas"/>
      <w:sz w:val="21"/>
      <w:szCs w:val="21"/>
    </w:rPr>
  </w:style>
  <w:style w:type="character" w:customStyle="1" w:styleId="Internetlink">
    <w:name w:val="Internet link"/>
    <w:basedOn w:val="Policepardfaut"/>
    <w:rsid w:val="0008247C"/>
    <w:rPr>
      <w:color w:val="0000FF"/>
      <w:u w:val="single"/>
    </w:rPr>
  </w:style>
  <w:style w:type="character" w:customStyle="1" w:styleId="NotedebasdepageCar">
    <w:name w:val="Note de bas de page Car"/>
    <w:basedOn w:val="Policepardfaut"/>
    <w:rsid w:val="0008247C"/>
    <w:rPr>
      <w:sz w:val="20"/>
      <w:szCs w:val="20"/>
    </w:rPr>
  </w:style>
  <w:style w:type="character" w:styleId="Appelnotedebasdep">
    <w:name w:val="footnote reference"/>
    <w:basedOn w:val="Policepardfaut"/>
    <w:rsid w:val="0008247C"/>
    <w:rPr>
      <w:position w:val="0"/>
      <w:vertAlign w:val="superscript"/>
    </w:rPr>
  </w:style>
  <w:style w:type="character" w:customStyle="1" w:styleId="texte">
    <w:name w:val="texte"/>
    <w:basedOn w:val="Policepardfaut"/>
    <w:rsid w:val="0008247C"/>
  </w:style>
  <w:style w:type="character" w:customStyle="1" w:styleId="ListLabel1">
    <w:name w:val="ListLabel 1"/>
    <w:rsid w:val="0008247C"/>
    <w:rPr>
      <w:rFonts w:cs="Calibri"/>
      <w:color w:val="8064A2"/>
    </w:rPr>
  </w:style>
  <w:style w:type="character" w:customStyle="1" w:styleId="ListLabel2">
    <w:name w:val="ListLabel 2"/>
    <w:rsid w:val="0008247C"/>
    <w:rPr>
      <w:rFonts w:cs="Courier New"/>
    </w:rPr>
  </w:style>
  <w:style w:type="character" w:customStyle="1" w:styleId="ListLabel3">
    <w:name w:val="ListLabel 3"/>
    <w:rsid w:val="0008247C"/>
    <w:rPr>
      <w:rFonts w:cs="Calibri"/>
    </w:rPr>
  </w:style>
  <w:style w:type="character" w:customStyle="1" w:styleId="FootnoteSymbol">
    <w:name w:val="Footnote Symbol"/>
    <w:rsid w:val="0008247C"/>
  </w:style>
  <w:style w:type="character" w:customStyle="1" w:styleId="Footnoteanchor">
    <w:name w:val="Footnote anchor"/>
    <w:rsid w:val="0008247C"/>
    <w:rPr>
      <w:position w:val="0"/>
      <w:vertAlign w:val="superscript"/>
    </w:rPr>
  </w:style>
  <w:style w:type="numbering" w:customStyle="1" w:styleId="WWNum1">
    <w:name w:val="WWNum1"/>
    <w:basedOn w:val="Aucuneliste"/>
    <w:rsid w:val="0008247C"/>
    <w:pPr>
      <w:numPr>
        <w:numId w:val="1"/>
      </w:numPr>
    </w:pPr>
  </w:style>
  <w:style w:type="numbering" w:customStyle="1" w:styleId="WWNum2">
    <w:name w:val="WWNum2"/>
    <w:basedOn w:val="Aucuneliste"/>
    <w:rsid w:val="0008247C"/>
    <w:pPr>
      <w:numPr>
        <w:numId w:val="2"/>
      </w:numPr>
    </w:pPr>
  </w:style>
  <w:style w:type="character" w:styleId="Lienhypertexte">
    <w:name w:val="Hyperlink"/>
    <w:basedOn w:val="Policepardfaut"/>
    <w:uiPriority w:val="99"/>
    <w:semiHidden/>
    <w:unhideWhenUsed/>
    <w:rsid w:val="002D0CC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scargots.solidaires@riseup.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ternativesante.com/capsulesante/nouvelles/nouvelles.asp?Nopetitesnouvelles=1&amp;NoCapsules=1508" TargetMode="External"/><Relationship Id="rId2" Type="http://schemas.openxmlformats.org/officeDocument/2006/relationships/hyperlink" Target="http://www.infogm.org/spip.php?article5497" TargetMode="External"/><Relationship Id="rId1" Type="http://schemas.openxmlformats.org/officeDocument/2006/relationships/hyperlink" Target="https://kokopelli-semences.fr/juridique/proces_per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7412E5-38D4-4FB7-903E-54375A5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1314</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4</cp:revision>
  <cp:lastPrinted>2014-03-13T18:02:00Z</cp:lastPrinted>
  <dcterms:created xsi:type="dcterms:W3CDTF">2014-03-03T09:56:00Z</dcterms:created>
  <dcterms:modified xsi:type="dcterms:W3CDTF">2014-03-13T18:04:00Z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