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2A" w:rsidRDefault="002E472A"/>
    <w:p w:rsidR="002E472A" w:rsidRDefault="002E472A">
      <w:pPr>
        <w:rPr>
          <w:rFonts w:ascii="Tahoma" w:hAnsi="Tahoma" w:cs="Tahoma"/>
        </w:rPr>
      </w:pPr>
      <w:r w:rsidRPr="00AD6D49">
        <w:rPr>
          <w:rFonts w:ascii="Tahoma" w:hAnsi="Tahoma" w:cs="Tahoma"/>
        </w:rPr>
        <w:t>Compiègne, samedi 21 avril, de 15h à 22h30</w:t>
      </w:r>
    </w:p>
    <w:p w:rsidR="002E472A" w:rsidRPr="00AD6D49" w:rsidRDefault="002E472A">
      <w:pPr>
        <w:rPr>
          <w:rFonts w:ascii="Tahoma" w:hAnsi="Tahoma" w:cs="Tahoma"/>
        </w:rPr>
      </w:pPr>
    </w:p>
    <w:p w:rsidR="002E472A" w:rsidRPr="00AD6D49" w:rsidRDefault="002E472A" w:rsidP="00AD6D49">
      <w:pPr>
        <w:ind w:firstLine="708"/>
        <w:rPr>
          <w:rFonts w:ascii="Tahoma" w:hAnsi="Tahoma" w:cs="Tahoma"/>
          <w:b/>
          <w:sz w:val="28"/>
          <w:szCs w:val="28"/>
        </w:rPr>
      </w:pPr>
      <w:r w:rsidRPr="00AD6D49">
        <w:rPr>
          <w:rFonts w:ascii="Tahoma" w:hAnsi="Tahoma" w:cs="Tahoma"/>
          <w:b/>
          <w:sz w:val="28"/>
          <w:szCs w:val="28"/>
        </w:rPr>
        <w:t>Formation à la communication et à l’action non-violentes</w:t>
      </w:r>
    </w:p>
    <w:p w:rsidR="002E472A" w:rsidRPr="00630B03" w:rsidRDefault="002E472A">
      <w:pPr>
        <w:rPr>
          <w:rFonts w:ascii="Tahoma" w:hAnsi="Tahoma" w:cs="Tahoma"/>
          <w:sz w:val="20"/>
          <w:szCs w:val="20"/>
        </w:rPr>
      </w:pPr>
      <w:r w:rsidRPr="00630B03">
        <w:rPr>
          <w:rFonts w:ascii="Tahoma" w:hAnsi="Tahoma" w:cs="Tahoma"/>
          <w:sz w:val="20"/>
          <w:szCs w:val="20"/>
        </w:rPr>
        <w:t>La non-violence - initiée par Gandhi, poursuivie par Martin Luther King</w:t>
      </w:r>
      <w:r>
        <w:rPr>
          <w:rFonts w:ascii="Tahoma" w:hAnsi="Tahoma" w:cs="Tahoma"/>
          <w:sz w:val="20"/>
          <w:szCs w:val="20"/>
        </w:rPr>
        <w:t xml:space="preserve"> et Nelson Mandela </w:t>
      </w:r>
      <w:r w:rsidRPr="00630B03">
        <w:rPr>
          <w:rFonts w:ascii="Tahoma" w:hAnsi="Tahoma" w:cs="Tahoma"/>
          <w:sz w:val="20"/>
          <w:szCs w:val="20"/>
        </w:rPr>
        <w:t>-  n’a rien à voir avec la passivité ou la résignation. La non-violence est une quête de sens du point de vue philosophique, une logique d’action révolutionnaire dans le domaine de l’action politique. La communicatio</w:t>
      </w:r>
      <w:r>
        <w:rPr>
          <w:rFonts w:ascii="Tahoma" w:hAnsi="Tahoma" w:cs="Tahoma"/>
          <w:sz w:val="20"/>
          <w:szCs w:val="20"/>
        </w:rPr>
        <w:t>n non-violente permet d’améliorer</w:t>
      </w:r>
      <w:r w:rsidRPr="00630B03">
        <w:rPr>
          <w:rFonts w:ascii="Tahoma" w:hAnsi="Tahoma" w:cs="Tahoma"/>
          <w:sz w:val="20"/>
          <w:szCs w:val="20"/>
        </w:rPr>
        <w:t xml:space="preserve"> les relations humaines.</w:t>
      </w:r>
    </w:p>
    <w:p w:rsidR="002E472A" w:rsidRPr="004C6662" w:rsidRDefault="002E472A">
      <w:pPr>
        <w:rPr>
          <w:rFonts w:ascii="Tahoma" w:hAnsi="Tahoma" w:cs="Tahoma"/>
          <w:b/>
        </w:rPr>
      </w:pPr>
      <w:r w:rsidRPr="004C6662">
        <w:rPr>
          <w:rFonts w:ascii="Tahoma" w:hAnsi="Tahoma" w:cs="Tahoma"/>
          <w:b/>
        </w:rPr>
        <w:t>Objectifs de la formation</w:t>
      </w:r>
    </w:p>
    <w:p w:rsidR="002E472A" w:rsidRPr="00630B03" w:rsidRDefault="002E472A" w:rsidP="00964531">
      <w:pPr>
        <w:pStyle w:val="ListParagraph"/>
        <w:numPr>
          <w:ilvl w:val="0"/>
          <w:numId w:val="1"/>
        </w:numPr>
        <w:rPr>
          <w:rFonts w:ascii="Tahoma" w:hAnsi="Tahoma" w:cs="Tahoma"/>
          <w:sz w:val="20"/>
          <w:szCs w:val="20"/>
        </w:rPr>
      </w:pPr>
      <w:r w:rsidRPr="00630B03">
        <w:rPr>
          <w:rFonts w:ascii="Tahoma" w:hAnsi="Tahoma" w:cs="Tahoma"/>
          <w:sz w:val="20"/>
          <w:szCs w:val="20"/>
        </w:rPr>
        <w:t>S’initier à la communication non-violente et à l’action non-violente.</w:t>
      </w:r>
    </w:p>
    <w:p w:rsidR="002E472A" w:rsidRPr="00630B03" w:rsidRDefault="002E472A" w:rsidP="00964531">
      <w:pPr>
        <w:pStyle w:val="ListParagraph"/>
        <w:numPr>
          <w:ilvl w:val="0"/>
          <w:numId w:val="1"/>
        </w:numPr>
        <w:rPr>
          <w:rFonts w:ascii="Tahoma" w:hAnsi="Tahoma" w:cs="Tahoma"/>
          <w:sz w:val="20"/>
          <w:szCs w:val="20"/>
        </w:rPr>
      </w:pPr>
      <w:r w:rsidRPr="00630B03">
        <w:rPr>
          <w:rFonts w:ascii="Tahoma" w:hAnsi="Tahoma" w:cs="Tahoma"/>
          <w:sz w:val="20"/>
          <w:szCs w:val="20"/>
        </w:rPr>
        <w:t>Être capable d’identifier les éléments entrant en jeu dans une relation conflictuelle donnée.</w:t>
      </w:r>
    </w:p>
    <w:p w:rsidR="002E472A" w:rsidRPr="00630B03" w:rsidRDefault="002E472A" w:rsidP="00964531">
      <w:pPr>
        <w:pStyle w:val="ListParagraph"/>
        <w:numPr>
          <w:ilvl w:val="0"/>
          <w:numId w:val="1"/>
        </w:numPr>
        <w:rPr>
          <w:rFonts w:ascii="Tahoma" w:hAnsi="Tahoma" w:cs="Tahoma"/>
          <w:sz w:val="20"/>
          <w:szCs w:val="20"/>
        </w:rPr>
      </w:pPr>
      <w:r w:rsidRPr="00630B03">
        <w:rPr>
          <w:rFonts w:ascii="Tahoma" w:hAnsi="Tahoma" w:cs="Tahoma"/>
          <w:sz w:val="20"/>
          <w:szCs w:val="20"/>
        </w:rPr>
        <w:t>Être en mesure de trouver une sortie honorable aux conflits interpersonnels.</w:t>
      </w:r>
    </w:p>
    <w:p w:rsidR="002E472A" w:rsidRPr="00630B03" w:rsidRDefault="002E472A" w:rsidP="00964531">
      <w:pPr>
        <w:pStyle w:val="ListParagraph"/>
        <w:numPr>
          <w:ilvl w:val="0"/>
          <w:numId w:val="1"/>
        </w:numPr>
        <w:rPr>
          <w:rFonts w:ascii="Tahoma" w:hAnsi="Tahoma" w:cs="Tahoma"/>
          <w:sz w:val="20"/>
          <w:szCs w:val="20"/>
        </w:rPr>
      </w:pPr>
      <w:r w:rsidRPr="00630B03">
        <w:rPr>
          <w:rFonts w:ascii="Tahoma" w:hAnsi="Tahoma" w:cs="Tahoma"/>
          <w:sz w:val="20"/>
          <w:szCs w:val="20"/>
        </w:rPr>
        <w:t>Savoir organiser avec d’autres une action non-violente.</w:t>
      </w:r>
    </w:p>
    <w:p w:rsidR="002E472A" w:rsidRPr="00630B03" w:rsidRDefault="002E472A" w:rsidP="00964531">
      <w:pPr>
        <w:pStyle w:val="ListParagraph"/>
        <w:numPr>
          <w:ilvl w:val="0"/>
          <w:numId w:val="1"/>
        </w:numPr>
        <w:rPr>
          <w:rFonts w:ascii="Tahoma" w:hAnsi="Tahoma" w:cs="Tahoma"/>
          <w:sz w:val="20"/>
          <w:szCs w:val="20"/>
        </w:rPr>
      </w:pPr>
      <w:r w:rsidRPr="00630B03">
        <w:rPr>
          <w:rFonts w:ascii="Tahoma" w:hAnsi="Tahoma" w:cs="Tahoma"/>
          <w:sz w:val="20"/>
          <w:szCs w:val="20"/>
        </w:rPr>
        <w:t>Être en mesure de déjouer la répression policière.</w:t>
      </w:r>
    </w:p>
    <w:p w:rsidR="002E472A" w:rsidRDefault="002E472A" w:rsidP="004C6662">
      <w:pPr>
        <w:pStyle w:val="ListParagraph"/>
        <w:numPr>
          <w:ilvl w:val="0"/>
          <w:numId w:val="1"/>
        </w:numPr>
        <w:rPr>
          <w:rFonts w:ascii="Tahoma" w:hAnsi="Tahoma" w:cs="Tahoma"/>
          <w:sz w:val="20"/>
          <w:szCs w:val="20"/>
        </w:rPr>
      </w:pPr>
      <w:r w:rsidRPr="00630B03">
        <w:rPr>
          <w:rFonts w:ascii="Tahoma" w:hAnsi="Tahoma" w:cs="Tahoma"/>
          <w:sz w:val="20"/>
          <w:szCs w:val="20"/>
        </w:rPr>
        <w:t>Avoir envie de continuer à explorer les chemins de la non-violence, tant dans les domaines philosophiques que politiques.</w:t>
      </w:r>
    </w:p>
    <w:p w:rsidR="002E472A" w:rsidRPr="004C6662" w:rsidRDefault="002E472A" w:rsidP="00D07DFE">
      <w:pPr>
        <w:pStyle w:val="ListParagraph"/>
        <w:rPr>
          <w:rFonts w:ascii="Tahoma" w:hAnsi="Tahoma" w:cs="Tahoma"/>
          <w:sz w:val="20"/>
          <w:szCs w:val="20"/>
        </w:rPr>
      </w:pPr>
    </w:p>
    <w:p w:rsidR="002E472A" w:rsidRPr="004C6662" w:rsidRDefault="002E472A" w:rsidP="00AD6D49">
      <w:pPr>
        <w:spacing w:before="120" w:after="120"/>
        <w:ind w:right="26"/>
        <w:rPr>
          <w:rFonts w:ascii="Tahoma" w:hAnsi="Tahoma" w:cs="Tahoma"/>
          <w:b/>
        </w:rPr>
      </w:pPr>
      <w:r w:rsidRPr="004C6662">
        <w:rPr>
          <w:rFonts w:ascii="Tahoma" w:hAnsi="Tahoma" w:cs="Tahoma"/>
          <w:b/>
        </w:rPr>
        <w:t>Contenus</w:t>
      </w:r>
    </w:p>
    <w:p w:rsidR="002E472A" w:rsidRPr="00630B03" w:rsidRDefault="002E472A" w:rsidP="00AD6D49">
      <w:pPr>
        <w:numPr>
          <w:ilvl w:val="0"/>
          <w:numId w:val="3"/>
        </w:numPr>
        <w:spacing w:after="0" w:line="240" w:lineRule="auto"/>
        <w:ind w:left="284" w:right="26" w:hanging="284"/>
        <w:rPr>
          <w:rFonts w:ascii="Tahoma" w:hAnsi="Tahoma" w:cs="Tahoma"/>
          <w:sz w:val="20"/>
          <w:szCs w:val="20"/>
        </w:rPr>
      </w:pPr>
      <w:r w:rsidRPr="00630B03">
        <w:rPr>
          <w:rFonts w:ascii="Tahoma" w:hAnsi="Tahoma" w:cs="Tahoma"/>
          <w:sz w:val="20"/>
          <w:szCs w:val="20"/>
        </w:rPr>
        <w:t>Les fondamentaux de la non-violence</w:t>
      </w:r>
      <w:r>
        <w:rPr>
          <w:rFonts w:ascii="Tahoma" w:hAnsi="Tahoma" w:cs="Tahoma"/>
          <w:sz w:val="20"/>
          <w:szCs w:val="20"/>
        </w:rPr>
        <w:t>.</w:t>
      </w:r>
    </w:p>
    <w:p w:rsidR="002E472A" w:rsidRDefault="002E472A" w:rsidP="00AD6D49">
      <w:pPr>
        <w:numPr>
          <w:ilvl w:val="0"/>
          <w:numId w:val="3"/>
        </w:numPr>
        <w:spacing w:after="0" w:line="240" w:lineRule="auto"/>
        <w:ind w:left="284" w:right="26" w:hanging="284"/>
        <w:rPr>
          <w:rFonts w:ascii="Tahoma" w:hAnsi="Tahoma" w:cs="Tahoma"/>
          <w:sz w:val="20"/>
          <w:szCs w:val="20"/>
        </w:rPr>
      </w:pPr>
      <w:r w:rsidRPr="00630B03">
        <w:rPr>
          <w:rFonts w:ascii="Tahoma" w:hAnsi="Tahoma" w:cs="Tahoma"/>
          <w:sz w:val="20"/>
          <w:szCs w:val="20"/>
        </w:rPr>
        <w:t xml:space="preserve">La </w:t>
      </w:r>
      <w:r>
        <w:rPr>
          <w:rFonts w:ascii="Tahoma" w:hAnsi="Tahoma" w:cs="Tahoma"/>
          <w:sz w:val="20"/>
          <w:szCs w:val="20"/>
        </w:rPr>
        <w:t>critique des</w:t>
      </w:r>
      <w:r w:rsidRPr="00630B03">
        <w:rPr>
          <w:rFonts w:ascii="Tahoma" w:hAnsi="Tahoma" w:cs="Tahoma"/>
          <w:sz w:val="20"/>
          <w:szCs w:val="20"/>
        </w:rPr>
        <w:t xml:space="preserve"> option</w:t>
      </w:r>
      <w:r>
        <w:rPr>
          <w:rFonts w:ascii="Tahoma" w:hAnsi="Tahoma" w:cs="Tahoma"/>
          <w:sz w:val="20"/>
          <w:szCs w:val="20"/>
        </w:rPr>
        <w:t>s</w:t>
      </w:r>
      <w:r w:rsidRPr="00630B03">
        <w:rPr>
          <w:rFonts w:ascii="Tahoma" w:hAnsi="Tahoma" w:cs="Tahoma"/>
          <w:sz w:val="20"/>
          <w:szCs w:val="20"/>
        </w:rPr>
        <w:t xml:space="preserve"> en faveur de la violence</w:t>
      </w:r>
      <w:r>
        <w:rPr>
          <w:rFonts w:ascii="Tahoma" w:hAnsi="Tahoma" w:cs="Tahoma"/>
          <w:sz w:val="20"/>
          <w:szCs w:val="20"/>
        </w:rPr>
        <w:t>, d’où qu’elle vienne.</w:t>
      </w:r>
    </w:p>
    <w:p w:rsidR="002E472A" w:rsidRDefault="002E472A" w:rsidP="00630B03">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La recherche de la communication non-violente et du consensus.</w:t>
      </w:r>
    </w:p>
    <w:p w:rsidR="002E472A" w:rsidRPr="00630B03" w:rsidRDefault="002E472A" w:rsidP="00630B03">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La confidentialité et le non-jugement.</w:t>
      </w:r>
    </w:p>
    <w:p w:rsidR="002E472A" w:rsidRDefault="002E472A" w:rsidP="00AD6D49">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La distinction entre l’injustice et la personne qui en est responsable.</w:t>
      </w:r>
    </w:p>
    <w:p w:rsidR="002E472A" w:rsidRDefault="002E472A" w:rsidP="00AD6D49">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La recherche du conflit et le besoin de trouver une porte de sortie honorable pour tous.</w:t>
      </w:r>
    </w:p>
    <w:p w:rsidR="002E472A" w:rsidRPr="004C6662" w:rsidRDefault="002E472A" w:rsidP="004C6662">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La recherche du compromis qui ne conduit pas à la compromission.</w:t>
      </w:r>
    </w:p>
    <w:p w:rsidR="002E472A" w:rsidRDefault="002E472A" w:rsidP="00AD6D49">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Le boycott, la désobéissance civile et la désobéissance éthique.</w:t>
      </w:r>
    </w:p>
    <w:p w:rsidR="002E472A" w:rsidRDefault="002E472A" w:rsidP="001F490F">
      <w:pPr>
        <w:spacing w:after="0" w:line="240" w:lineRule="auto"/>
        <w:ind w:right="26"/>
        <w:rPr>
          <w:rFonts w:ascii="Tahoma" w:hAnsi="Tahoma" w:cs="Tahoma"/>
          <w:sz w:val="20"/>
          <w:szCs w:val="20"/>
        </w:rPr>
      </w:pPr>
      <w:r>
        <w:rPr>
          <w:rFonts w:ascii="Tahoma" w:hAnsi="Tahoma" w:cs="Tahoma"/>
          <w:sz w:val="20"/>
          <w:szCs w:val="20"/>
        </w:rPr>
        <w:t xml:space="preserve">  Autre :</w:t>
      </w:r>
    </w:p>
    <w:p w:rsidR="002E472A" w:rsidRDefault="002E472A" w:rsidP="00AD6D49">
      <w:pPr>
        <w:numPr>
          <w:ilvl w:val="0"/>
          <w:numId w:val="3"/>
        </w:numPr>
        <w:spacing w:after="0" w:line="240" w:lineRule="auto"/>
        <w:ind w:left="284" w:right="26" w:hanging="284"/>
        <w:rPr>
          <w:rFonts w:ascii="Tahoma" w:hAnsi="Tahoma" w:cs="Tahoma"/>
          <w:sz w:val="20"/>
          <w:szCs w:val="20"/>
        </w:rPr>
      </w:pPr>
      <w:r>
        <w:rPr>
          <w:rFonts w:ascii="Tahoma" w:hAnsi="Tahoma" w:cs="Tahoma"/>
          <w:sz w:val="20"/>
          <w:szCs w:val="20"/>
        </w:rPr>
        <w:t>Él</w:t>
      </w:r>
      <w:r w:rsidRPr="00630B03">
        <w:rPr>
          <w:rFonts w:ascii="Tahoma" w:hAnsi="Tahoma" w:cs="Tahoma"/>
          <w:sz w:val="20"/>
          <w:szCs w:val="20"/>
        </w:rPr>
        <w:t>éments pratiques</w:t>
      </w:r>
      <w:r>
        <w:rPr>
          <w:rFonts w:ascii="Tahoma" w:hAnsi="Tahoma" w:cs="Tahoma"/>
          <w:sz w:val="20"/>
          <w:szCs w:val="20"/>
        </w:rPr>
        <w:t xml:space="preserve"> de</w:t>
      </w:r>
      <w:r w:rsidRPr="00630B03">
        <w:rPr>
          <w:rFonts w:ascii="Tahoma" w:hAnsi="Tahoma" w:cs="Tahoma"/>
          <w:sz w:val="20"/>
          <w:szCs w:val="20"/>
        </w:rPr>
        <w:t xml:space="preserve"> conduite de réunion : préparation, animation et distribution de la parole, synthèse, prise de décisions, compte-re</w:t>
      </w:r>
      <w:r>
        <w:rPr>
          <w:rFonts w:ascii="Tahoma" w:hAnsi="Tahoma" w:cs="Tahoma"/>
          <w:sz w:val="20"/>
          <w:szCs w:val="20"/>
        </w:rPr>
        <w:t>ndu.</w:t>
      </w:r>
    </w:p>
    <w:p w:rsidR="002E472A" w:rsidRDefault="002E472A" w:rsidP="00AD6D49">
      <w:pPr>
        <w:numPr>
          <w:ilvl w:val="0"/>
          <w:numId w:val="3"/>
        </w:numPr>
        <w:spacing w:after="0" w:line="240" w:lineRule="auto"/>
        <w:ind w:left="284" w:right="26" w:hanging="284"/>
        <w:rPr>
          <w:rFonts w:ascii="Tahoma" w:hAnsi="Tahoma" w:cs="Tahoma"/>
          <w:sz w:val="20"/>
          <w:szCs w:val="20"/>
        </w:rPr>
      </w:pPr>
    </w:p>
    <w:p w:rsidR="002E472A" w:rsidRDefault="002E472A" w:rsidP="004C6662">
      <w:pPr>
        <w:spacing w:after="0" w:line="240" w:lineRule="auto"/>
        <w:ind w:right="26"/>
        <w:rPr>
          <w:rFonts w:ascii="Tahoma" w:hAnsi="Tahoma" w:cs="Tahoma"/>
          <w:sz w:val="20"/>
          <w:szCs w:val="20"/>
        </w:rPr>
      </w:pPr>
      <w:r w:rsidRPr="004C6662">
        <w:rPr>
          <w:rFonts w:ascii="Tahoma" w:hAnsi="Tahoma" w:cs="Tahoma"/>
          <w:b/>
          <w:sz w:val="20"/>
          <w:szCs w:val="20"/>
        </w:rPr>
        <w:t xml:space="preserve">NB : </w:t>
      </w:r>
      <w:r>
        <w:rPr>
          <w:rFonts w:ascii="Tahoma" w:hAnsi="Tahoma" w:cs="Tahoma"/>
          <w:sz w:val="20"/>
          <w:szCs w:val="20"/>
        </w:rPr>
        <w:t>Ces contenus se rapportent à une formation de 3 jours. Lors d’une formation de 1 jour, le formateur établit des choix parmi ces contenus et il les agence dans un ordre qui tient compte des attentes prioritaires des participants, après les avoir entendues au cours de la première heure</w:t>
      </w:r>
    </w:p>
    <w:p w:rsidR="002E472A" w:rsidRPr="00630B03" w:rsidRDefault="002E472A" w:rsidP="00630B03">
      <w:pPr>
        <w:pStyle w:val="Heading5"/>
        <w:rPr>
          <w:rFonts w:ascii="Tahoma" w:hAnsi="Tahoma" w:cs="Tahoma"/>
          <w:i w:val="0"/>
          <w:iCs w:val="0"/>
          <w:sz w:val="20"/>
          <w:szCs w:val="20"/>
        </w:rPr>
      </w:pPr>
    </w:p>
    <w:p w:rsidR="002E472A" w:rsidRPr="005345BC" w:rsidRDefault="002E472A" w:rsidP="00AD6D49">
      <w:pPr>
        <w:pStyle w:val="Heading5"/>
        <w:ind w:left="-567"/>
        <w:rPr>
          <w:rFonts w:ascii="Tahoma" w:hAnsi="Tahoma" w:cs="Tahoma"/>
          <w:i w:val="0"/>
          <w:iCs w:val="0"/>
          <w:sz w:val="22"/>
          <w:szCs w:val="22"/>
        </w:rPr>
      </w:pPr>
      <w:r w:rsidRPr="005345BC">
        <w:rPr>
          <w:rFonts w:ascii="Tahoma" w:hAnsi="Tahoma" w:cs="Tahoma"/>
          <w:i w:val="0"/>
          <w:iCs w:val="0"/>
          <w:sz w:val="22"/>
          <w:szCs w:val="22"/>
        </w:rPr>
        <w:t xml:space="preserve">          Démarche pédagogique</w:t>
      </w:r>
    </w:p>
    <w:p w:rsidR="002E472A" w:rsidRPr="00630B03" w:rsidRDefault="002E472A" w:rsidP="00AD6D49">
      <w:pPr>
        <w:jc w:val="both"/>
        <w:rPr>
          <w:rFonts w:ascii="Tahoma" w:hAnsi="Tahoma" w:cs="Tahoma"/>
          <w:sz w:val="20"/>
          <w:szCs w:val="20"/>
        </w:rPr>
      </w:pPr>
    </w:p>
    <w:p w:rsidR="002E472A" w:rsidRPr="00630B03" w:rsidRDefault="002E472A" w:rsidP="00AD6D49">
      <w:pPr>
        <w:numPr>
          <w:ilvl w:val="0"/>
          <w:numId w:val="4"/>
        </w:numPr>
        <w:autoSpaceDE w:val="0"/>
        <w:autoSpaceDN w:val="0"/>
        <w:spacing w:after="0" w:line="240" w:lineRule="auto"/>
        <w:jc w:val="both"/>
        <w:rPr>
          <w:rFonts w:ascii="Tahoma" w:hAnsi="Tahoma" w:cs="Tahoma"/>
          <w:b/>
          <w:bCs/>
          <w:sz w:val="20"/>
          <w:szCs w:val="20"/>
        </w:rPr>
      </w:pPr>
      <w:r w:rsidRPr="00630B03">
        <w:rPr>
          <w:rFonts w:ascii="Tahoma" w:hAnsi="Tahoma" w:cs="Tahoma"/>
          <w:b/>
          <w:bCs/>
          <w:sz w:val="20"/>
          <w:szCs w:val="20"/>
        </w:rPr>
        <w:t xml:space="preserve">La formation lie complètement la réflexion théorique à l'étude de situations concrètes. </w:t>
      </w:r>
    </w:p>
    <w:p w:rsidR="002E472A" w:rsidRPr="00630B03" w:rsidRDefault="002E472A" w:rsidP="00AD6D49">
      <w:pPr>
        <w:pStyle w:val="BodyText"/>
        <w:ind w:left="708"/>
        <w:rPr>
          <w:rFonts w:ascii="Tahoma" w:hAnsi="Tahoma" w:cs="Tahoma"/>
          <w:sz w:val="20"/>
          <w:szCs w:val="20"/>
        </w:rPr>
      </w:pPr>
      <w:r w:rsidRPr="00630B03">
        <w:rPr>
          <w:rFonts w:ascii="Tahoma" w:hAnsi="Tahoma" w:cs="Tahoma"/>
          <w:sz w:val="20"/>
          <w:szCs w:val="20"/>
        </w:rPr>
        <w:t>Les apports conceptuels – donnés sous forme d'exposés ou à travers des exercices actifs – viennent au fur et à mesure répondre aux exemples concrets qui auront été donnés par les participants</w:t>
      </w:r>
      <w:r>
        <w:rPr>
          <w:rFonts w:ascii="Tahoma" w:hAnsi="Tahoma" w:cs="Tahoma"/>
          <w:sz w:val="20"/>
          <w:szCs w:val="20"/>
        </w:rPr>
        <w:t>.</w:t>
      </w:r>
    </w:p>
    <w:p w:rsidR="002E472A" w:rsidRPr="00630B03" w:rsidRDefault="002E472A" w:rsidP="00AD6D49">
      <w:pPr>
        <w:jc w:val="both"/>
        <w:rPr>
          <w:rFonts w:ascii="Tahoma" w:hAnsi="Tahoma" w:cs="Tahoma"/>
          <w:sz w:val="20"/>
          <w:szCs w:val="20"/>
        </w:rPr>
      </w:pPr>
    </w:p>
    <w:p w:rsidR="002E472A" w:rsidRPr="00630B03" w:rsidRDefault="002E472A" w:rsidP="00AD6D49">
      <w:pPr>
        <w:numPr>
          <w:ilvl w:val="0"/>
          <w:numId w:val="4"/>
        </w:numPr>
        <w:autoSpaceDE w:val="0"/>
        <w:autoSpaceDN w:val="0"/>
        <w:spacing w:after="0" w:line="240" w:lineRule="auto"/>
        <w:jc w:val="both"/>
        <w:rPr>
          <w:rFonts w:ascii="Tahoma" w:hAnsi="Tahoma" w:cs="Tahoma"/>
          <w:b/>
          <w:bCs/>
          <w:sz w:val="20"/>
          <w:szCs w:val="20"/>
        </w:rPr>
      </w:pPr>
      <w:r w:rsidRPr="00630B03">
        <w:rPr>
          <w:rFonts w:ascii="Tahoma" w:hAnsi="Tahoma" w:cs="Tahoma"/>
          <w:b/>
          <w:bCs/>
          <w:sz w:val="20"/>
          <w:szCs w:val="20"/>
        </w:rPr>
        <w:t xml:space="preserve">L'expérimentation pratique invite les participants à s'impliquer dans le groupe. </w:t>
      </w:r>
    </w:p>
    <w:p w:rsidR="002E472A" w:rsidRPr="00630B03" w:rsidRDefault="002E472A" w:rsidP="00AD6D49">
      <w:pPr>
        <w:pStyle w:val="BodyText2"/>
        <w:ind w:left="708"/>
        <w:rPr>
          <w:rFonts w:ascii="Tahoma" w:hAnsi="Tahoma" w:cs="Tahoma"/>
          <w:i w:val="0"/>
          <w:iCs w:val="0"/>
        </w:rPr>
      </w:pPr>
      <w:r w:rsidRPr="00630B03">
        <w:rPr>
          <w:rFonts w:ascii="Tahoma" w:hAnsi="Tahoma" w:cs="Tahoma"/>
          <w:i w:val="0"/>
          <w:iCs w:val="0"/>
        </w:rPr>
        <w:t>Il est proposé des études de cas et des exercices mettant en jeu le verbal et le non verbal. Chaque participant s'y engage à sa propre mesure et comme il l'entend. Les notions de confidentialité et de non-jugement sont explicitées dès le début de la formation.</w:t>
      </w:r>
    </w:p>
    <w:p w:rsidR="002E472A" w:rsidRPr="00630B03" w:rsidRDefault="002E472A" w:rsidP="00AD6D49">
      <w:pPr>
        <w:jc w:val="both"/>
        <w:rPr>
          <w:rFonts w:ascii="Tahoma" w:hAnsi="Tahoma" w:cs="Tahoma"/>
          <w:sz w:val="20"/>
          <w:szCs w:val="20"/>
        </w:rPr>
      </w:pPr>
    </w:p>
    <w:p w:rsidR="002E472A" w:rsidRPr="00630B03" w:rsidRDefault="002E472A" w:rsidP="00AD6D49">
      <w:pPr>
        <w:numPr>
          <w:ilvl w:val="0"/>
          <w:numId w:val="4"/>
        </w:numPr>
        <w:autoSpaceDE w:val="0"/>
        <w:autoSpaceDN w:val="0"/>
        <w:spacing w:after="0" w:line="240" w:lineRule="auto"/>
        <w:jc w:val="both"/>
        <w:rPr>
          <w:rFonts w:ascii="Tahoma" w:hAnsi="Tahoma" w:cs="Tahoma"/>
          <w:b/>
          <w:bCs/>
          <w:sz w:val="20"/>
          <w:szCs w:val="20"/>
        </w:rPr>
      </w:pPr>
      <w:r w:rsidRPr="00630B03">
        <w:rPr>
          <w:rFonts w:ascii="Tahoma" w:hAnsi="Tahoma" w:cs="Tahoma"/>
          <w:b/>
          <w:bCs/>
          <w:sz w:val="20"/>
          <w:szCs w:val="20"/>
        </w:rPr>
        <w:t>L'écoute et l'échange au sein du groupe contribuent à la dynamique de la formation.</w:t>
      </w:r>
    </w:p>
    <w:p w:rsidR="002E472A" w:rsidRPr="00630B03" w:rsidRDefault="002E472A" w:rsidP="00AD6D49">
      <w:pPr>
        <w:jc w:val="both"/>
        <w:rPr>
          <w:rFonts w:ascii="Tahoma" w:hAnsi="Tahoma" w:cs="Tahoma"/>
          <w:sz w:val="20"/>
          <w:szCs w:val="20"/>
        </w:rPr>
      </w:pPr>
      <w:bookmarkStart w:id="0" w:name="_GoBack"/>
      <w:bookmarkEnd w:id="0"/>
    </w:p>
    <w:p w:rsidR="002E472A" w:rsidRPr="00630B03" w:rsidRDefault="002E472A" w:rsidP="00630B03">
      <w:pPr>
        <w:pStyle w:val="Heading5"/>
        <w:ind w:left="-567"/>
        <w:rPr>
          <w:rFonts w:ascii="Tahoma" w:hAnsi="Tahoma" w:cs="Tahoma"/>
          <w:i w:val="0"/>
          <w:iCs w:val="0"/>
          <w:sz w:val="20"/>
          <w:szCs w:val="20"/>
        </w:rPr>
      </w:pPr>
      <w:r>
        <w:rPr>
          <w:rFonts w:ascii="Tahoma" w:hAnsi="Tahoma" w:cs="Tahoma"/>
          <w:i w:val="0"/>
          <w:iCs w:val="0"/>
          <w:sz w:val="20"/>
          <w:szCs w:val="20"/>
        </w:rPr>
        <w:t xml:space="preserve">          </w:t>
      </w:r>
      <w:r w:rsidRPr="00630B03">
        <w:rPr>
          <w:rFonts w:ascii="Tahoma" w:hAnsi="Tahoma" w:cs="Tahoma"/>
          <w:i w:val="0"/>
          <w:iCs w:val="0"/>
          <w:sz w:val="20"/>
          <w:szCs w:val="20"/>
        </w:rPr>
        <w:t xml:space="preserve">Modalités pratiques </w:t>
      </w:r>
    </w:p>
    <w:p w:rsidR="002E472A" w:rsidRPr="00D07DFE" w:rsidRDefault="002E472A" w:rsidP="00630B03">
      <w:pPr>
        <w:rPr>
          <w:sz w:val="20"/>
          <w:szCs w:val="20"/>
          <w:lang w:eastAsia="fr-FR"/>
        </w:rPr>
      </w:pPr>
    </w:p>
    <w:p w:rsidR="002E472A" w:rsidRPr="00D07DFE" w:rsidRDefault="002E472A" w:rsidP="00AD6D49">
      <w:pPr>
        <w:numPr>
          <w:ilvl w:val="0"/>
          <w:numId w:val="4"/>
        </w:numPr>
        <w:autoSpaceDE w:val="0"/>
        <w:autoSpaceDN w:val="0"/>
        <w:spacing w:after="0" w:line="240" w:lineRule="auto"/>
        <w:jc w:val="both"/>
        <w:rPr>
          <w:rFonts w:ascii="Tahoma" w:hAnsi="Tahoma" w:cs="Tahoma"/>
          <w:sz w:val="20"/>
          <w:szCs w:val="20"/>
        </w:rPr>
      </w:pPr>
      <w:r w:rsidRPr="00D07DFE">
        <w:rPr>
          <w:rFonts w:ascii="Tahoma" w:hAnsi="Tahoma" w:cs="Tahoma"/>
          <w:sz w:val="20"/>
          <w:szCs w:val="20"/>
        </w:rPr>
        <w:t xml:space="preserve">La dynamique du groupe et la cohérence de la formation nécessitent d'être présent à l'ensemble de la session </w:t>
      </w:r>
      <w:r w:rsidRPr="00D07DFE">
        <w:rPr>
          <w:rFonts w:ascii="Tahoma" w:hAnsi="Tahoma" w:cs="Tahoma"/>
          <w:sz w:val="20"/>
          <w:szCs w:val="20"/>
          <w:u w:val="single"/>
        </w:rPr>
        <w:t>dès son début à 15h.</w:t>
      </w:r>
      <w:r w:rsidRPr="00D07DFE">
        <w:rPr>
          <w:rFonts w:ascii="Tahoma" w:hAnsi="Tahoma" w:cs="Tahoma"/>
          <w:sz w:val="20"/>
          <w:szCs w:val="20"/>
        </w:rPr>
        <w:t xml:space="preserve"> </w:t>
      </w:r>
    </w:p>
    <w:p w:rsidR="002E472A" w:rsidRPr="00D07DFE" w:rsidRDefault="002E472A" w:rsidP="00D07DFE">
      <w:pPr>
        <w:autoSpaceDE w:val="0"/>
        <w:autoSpaceDN w:val="0"/>
        <w:spacing w:after="0" w:line="240" w:lineRule="auto"/>
        <w:ind w:left="660"/>
        <w:jc w:val="both"/>
        <w:rPr>
          <w:rFonts w:ascii="Tahoma" w:hAnsi="Tahoma" w:cs="Tahoma"/>
          <w:sz w:val="20"/>
          <w:szCs w:val="20"/>
        </w:rPr>
      </w:pPr>
    </w:p>
    <w:p w:rsidR="002E472A" w:rsidRPr="00D07DFE" w:rsidRDefault="002E472A" w:rsidP="00AD6D49">
      <w:pPr>
        <w:numPr>
          <w:ilvl w:val="0"/>
          <w:numId w:val="4"/>
        </w:numPr>
        <w:autoSpaceDE w:val="0"/>
        <w:autoSpaceDN w:val="0"/>
        <w:spacing w:after="0" w:line="240" w:lineRule="auto"/>
        <w:jc w:val="both"/>
        <w:rPr>
          <w:rFonts w:ascii="Tahoma" w:hAnsi="Tahoma" w:cs="Tahoma"/>
          <w:bCs/>
          <w:sz w:val="20"/>
          <w:szCs w:val="20"/>
        </w:rPr>
      </w:pPr>
      <w:r w:rsidRPr="00D07DFE">
        <w:rPr>
          <w:rFonts w:ascii="Tahoma" w:hAnsi="Tahoma" w:cs="Tahoma"/>
          <w:bCs/>
          <w:sz w:val="20"/>
          <w:szCs w:val="20"/>
        </w:rPr>
        <w:t>La formation a</w:t>
      </w:r>
      <w:r>
        <w:rPr>
          <w:rFonts w:ascii="Tahoma" w:hAnsi="Tahoma" w:cs="Tahoma"/>
          <w:bCs/>
          <w:sz w:val="20"/>
          <w:szCs w:val="20"/>
        </w:rPr>
        <w:t>ccueille un groupe de maximum 20</w:t>
      </w:r>
      <w:r w:rsidRPr="00D07DFE">
        <w:rPr>
          <w:rFonts w:ascii="Tahoma" w:hAnsi="Tahoma" w:cs="Tahoma"/>
          <w:bCs/>
          <w:sz w:val="20"/>
          <w:szCs w:val="20"/>
        </w:rPr>
        <w:t xml:space="preserve"> participants. </w:t>
      </w:r>
    </w:p>
    <w:p w:rsidR="002E472A" w:rsidRPr="00D07DFE" w:rsidRDefault="002E472A" w:rsidP="00D07DFE">
      <w:pPr>
        <w:spacing w:after="0"/>
        <w:jc w:val="both"/>
        <w:rPr>
          <w:rFonts w:ascii="Tahoma" w:hAnsi="Tahoma" w:cs="Tahoma"/>
          <w:sz w:val="20"/>
          <w:szCs w:val="20"/>
        </w:rPr>
      </w:pPr>
    </w:p>
    <w:p w:rsidR="002E472A" w:rsidRPr="00D07DFE" w:rsidRDefault="002E472A" w:rsidP="00D07DFE">
      <w:pPr>
        <w:numPr>
          <w:ilvl w:val="0"/>
          <w:numId w:val="4"/>
        </w:numPr>
        <w:autoSpaceDE w:val="0"/>
        <w:autoSpaceDN w:val="0"/>
        <w:spacing w:after="0" w:line="240" w:lineRule="auto"/>
        <w:jc w:val="both"/>
        <w:rPr>
          <w:rFonts w:ascii="Tahoma" w:hAnsi="Tahoma" w:cs="Tahoma"/>
          <w:bCs/>
          <w:sz w:val="20"/>
          <w:szCs w:val="20"/>
        </w:rPr>
      </w:pPr>
      <w:r w:rsidRPr="00D07DFE">
        <w:rPr>
          <w:rFonts w:ascii="Tahoma" w:hAnsi="Tahoma" w:cs="Tahoma"/>
          <w:bCs/>
          <w:sz w:val="20"/>
          <w:szCs w:val="20"/>
        </w:rPr>
        <w:t xml:space="preserve">Les organisateurs mettent à disposition une salle de si possible </w:t>
      </w:r>
      <w:smartTag w:uri="urn:schemas-microsoft-com:office:smarttags" w:element="metricconverter">
        <w:smartTagPr>
          <w:attr w:name="ProductID" w:val="50 m2"/>
        </w:smartTagPr>
        <w:r w:rsidRPr="00D07DFE">
          <w:rPr>
            <w:rFonts w:ascii="Tahoma" w:hAnsi="Tahoma" w:cs="Tahoma"/>
            <w:bCs/>
            <w:sz w:val="20"/>
            <w:szCs w:val="20"/>
          </w:rPr>
          <w:t>50 m2 environ</w:t>
        </w:r>
      </w:smartTag>
      <w:r w:rsidRPr="00D07DFE">
        <w:rPr>
          <w:rFonts w:ascii="Tahoma" w:hAnsi="Tahoma" w:cs="Tahoma"/>
          <w:bCs/>
          <w:sz w:val="20"/>
          <w:szCs w:val="20"/>
        </w:rPr>
        <w:t>.</w:t>
      </w:r>
    </w:p>
    <w:p w:rsidR="002E472A" w:rsidRPr="00D07DFE" w:rsidRDefault="002E472A" w:rsidP="00D07DFE">
      <w:pPr>
        <w:autoSpaceDE w:val="0"/>
        <w:autoSpaceDN w:val="0"/>
        <w:spacing w:after="0"/>
        <w:ind w:left="300" w:firstLine="360"/>
        <w:jc w:val="both"/>
        <w:rPr>
          <w:rFonts w:ascii="Tahoma" w:hAnsi="Tahoma" w:cs="Tahoma"/>
          <w:sz w:val="20"/>
          <w:szCs w:val="20"/>
        </w:rPr>
      </w:pPr>
      <w:r w:rsidRPr="00D07DFE">
        <w:rPr>
          <w:rFonts w:ascii="Tahoma" w:hAnsi="Tahoma" w:cs="Tahoma"/>
          <w:sz w:val="20"/>
          <w:szCs w:val="20"/>
        </w:rPr>
        <w:t>La taille de la salle doit permettre de jouer des exercices de mise en situation.</w:t>
      </w:r>
    </w:p>
    <w:p w:rsidR="002E472A" w:rsidRDefault="002E472A" w:rsidP="00D07DFE">
      <w:pPr>
        <w:autoSpaceDE w:val="0"/>
        <w:autoSpaceDN w:val="0"/>
        <w:spacing w:after="0"/>
        <w:ind w:left="300" w:firstLine="360"/>
        <w:jc w:val="both"/>
        <w:rPr>
          <w:rFonts w:ascii="Tahoma" w:hAnsi="Tahoma" w:cs="Tahoma"/>
          <w:sz w:val="20"/>
          <w:szCs w:val="20"/>
        </w:rPr>
      </w:pPr>
      <w:r w:rsidRPr="00D07DFE">
        <w:rPr>
          <w:rFonts w:ascii="Tahoma" w:hAnsi="Tahoma" w:cs="Tahoma"/>
          <w:sz w:val="20"/>
          <w:szCs w:val="20"/>
        </w:rPr>
        <w:t>Un tableau de pap</w:t>
      </w:r>
      <w:r>
        <w:rPr>
          <w:rFonts w:ascii="Tahoma" w:hAnsi="Tahoma" w:cs="Tahoma"/>
          <w:sz w:val="20"/>
          <w:szCs w:val="20"/>
        </w:rPr>
        <w:t>ier et des markers sont disponibles</w:t>
      </w:r>
      <w:r w:rsidRPr="00D07DFE">
        <w:rPr>
          <w:rFonts w:ascii="Tahoma" w:hAnsi="Tahoma" w:cs="Tahoma"/>
          <w:sz w:val="20"/>
          <w:szCs w:val="20"/>
        </w:rPr>
        <w:t xml:space="preserve"> dans la salle.</w:t>
      </w:r>
    </w:p>
    <w:p w:rsidR="002E472A" w:rsidRDefault="002E472A" w:rsidP="00D07DFE">
      <w:pPr>
        <w:autoSpaceDE w:val="0"/>
        <w:autoSpaceDN w:val="0"/>
        <w:spacing w:after="0"/>
        <w:jc w:val="both"/>
        <w:rPr>
          <w:rFonts w:ascii="Tahoma" w:hAnsi="Tahoma" w:cs="Tahoma"/>
          <w:sz w:val="20"/>
          <w:szCs w:val="20"/>
        </w:rPr>
      </w:pPr>
    </w:p>
    <w:p w:rsidR="002E472A" w:rsidRDefault="002E472A" w:rsidP="00D07DFE">
      <w:pPr>
        <w:autoSpaceDE w:val="0"/>
        <w:autoSpaceDN w:val="0"/>
        <w:spacing w:after="0"/>
        <w:rPr>
          <w:rFonts w:ascii="Tahoma" w:hAnsi="Tahoma" w:cs="Tahoma"/>
          <w:sz w:val="20"/>
          <w:szCs w:val="20"/>
        </w:rPr>
      </w:pPr>
    </w:p>
    <w:p w:rsidR="002E472A" w:rsidRPr="00D07DFE" w:rsidRDefault="002E472A" w:rsidP="00D07DFE">
      <w:pPr>
        <w:autoSpaceDE w:val="0"/>
        <w:autoSpaceDN w:val="0"/>
        <w:spacing w:after="0"/>
        <w:rPr>
          <w:rFonts w:ascii="Tahoma" w:hAnsi="Tahoma" w:cs="Tahoma"/>
          <w:bCs/>
          <w:sz w:val="20"/>
          <w:szCs w:val="20"/>
        </w:rPr>
      </w:pPr>
      <w:r w:rsidRPr="00D07DFE">
        <w:rPr>
          <w:rFonts w:ascii="Tahoma" w:hAnsi="Tahoma" w:cs="Tahoma"/>
          <w:b/>
          <w:sz w:val="20"/>
          <w:szCs w:val="20"/>
        </w:rPr>
        <w:t xml:space="preserve"> Formateur</w:t>
      </w:r>
      <w:r>
        <w:rPr>
          <w:rFonts w:ascii="Tahoma" w:hAnsi="Tahoma" w:cs="Tahoma"/>
          <w:sz w:val="20"/>
          <w:szCs w:val="20"/>
        </w:rPr>
        <w:t xml:space="preserve"> : François Vaillant, rédacteur en chef de la revue </w:t>
      </w:r>
      <w:r w:rsidRPr="00D07DFE">
        <w:rPr>
          <w:rFonts w:ascii="Tahoma" w:hAnsi="Tahoma" w:cs="Tahoma"/>
          <w:i/>
          <w:sz w:val="20"/>
          <w:szCs w:val="20"/>
        </w:rPr>
        <w:t>Alternatives Non-Violentes</w:t>
      </w:r>
      <w:r>
        <w:rPr>
          <w:rFonts w:ascii="Tahoma" w:hAnsi="Tahoma" w:cs="Tahoma"/>
          <w:sz w:val="20"/>
          <w:szCs w:val="20"/>
        </w:rPr>
        <w:t xml:space="preserve"> (</w:t>
      </w:r>
      <w:hyperlink r:id="rId5" w:history="1">
        <w:r w:rsidRPr="00893D28">
          <w:rPr>
            <w:rStyle w:val="Hyperlink"/>
            <w:rFonts w:ascii="Tahoma" w:hAnsi="Tahoma" w:cs="Tahoma"/>
            <w:sz w:val="20"/>
            <w:szCs w:val="20"/>
          </w:rPr>
          <w:t>www.alternatives.non.violentes.org</w:t>
        </w:r>
      </w:hyperlink>
      <w:r>
        <w:rPr>
          <w:rFonts w:ascii="Tahoma" w:hAnsi="Tahoma" w:cs="Tahoma"/>
          <w:sz w:val="20"/>
          <w:szCs w:val="20"/>
        </w:rPr>
        <w:t xml:space="preserve"> ), co-fondateur du Collectif des déboulonneurs (</w:t>
      </w:r>
      <w:hyperlink r:id="rId6" w:history="1">
        <w:r w:rsidRPr="00893D28">
          <w:rPr>
            <w:rStyle w:val="Hyperlink"/>
            <w:rFonts w:ascii="Tahoma" w:hAnsi="Tahoma" w:cs="Tahoma"/>
            <w:sz w:val="20"/>
            <w:szCs w:val="20"/>
          </w:rPr>
          <w:t>www.deboulonneurs.org</w:t>
        </w:r>
      </w:hyperlink>
      <w:r>
        <w:rPr>
          <w:rFonts w:ascii="Tahoma" w:hAnsi="Tahoma" w:cs="Tahoma"/>
          <w:sz w:val="20"/>
          <w:szCs w:val="20"/>
        </w:rPr>
        <w:t xml:space="preserve"> )</w:t>
      </w:r>
    </w:p>
    <w:p w:rsidR="002E472A" w:rsidRPr="00D07DFE" w:rsidRDefault="002E472A" w:rsidP="00D07DFE">
      <w:pPr>
        <w:autoSpaceDE w:val="0"/>
        <w:autoSpaceDN w:val="0"/>
        <w:spacing w:after="0"/>
        <w:ind w:left="300" w:firstLine="360"/>
        <w:rPr>
          <w:rFonts w:ascii="Tahoma" w:hAnsi="Tahoma" w:cs="Tahoma"/>
          <w:bCs/>
          <w:sz w:val="20"/>
          <w:szCs w:val="20"/>
        </w:rPr>
      </w:pPr>
    </w:p>
    <w:p w:rsidR="002E472A" w:rsidRPr="00D07DFE" w:rsidRDefault="002E472A" w:rsidP="00D07DFE">
      <w:pPr>
        <w:pStyle w:val="Header"/>
        <w:tabs>
          <w:tab w:val="clear" w:pos="4536"/>
          <w:tab w:val="clear" w:pos="9072"/>
        </w:tabs>
        <w:ind w:right="142"/>
        <w:rPr>
          <w:rFonts w:ascii="Tahoma" w:hAnsi="Tahoma" w:cs="Tahoma"/>
          <w:sz w:val="22"/>
          <w:szCs w:val="22"/>
        </w:rPr>
      </w:pPr>
    </w:p>
    <w:p w:rsidR="002E472A" w:rsidRPr="00D07DFE" w:rsidRDefault="002E472A" w:rsidP="00D07DFE">
      <w:pPr>
        <w:spacing w:after="0"/>
        <w:ind w:left="360"/>
        <w:rPr>
          <w:rFonts w:ascii="Tahoma" w:hAnsi="Tahoma" w:cs="Tahoma"/>
        </w:rPr>
      </w:pPr>
    </w:p>
    <w:p w:rsidR="002E472A" w:rsidRPr="00AD6D49" w:rsidRDefault="002E472A" w:rsidP="00D07DFE">
      <w:pPr>
        <w:ind w:left="360"/>
        <w:rPr>
          <w:rFonts w:ascii="Tahoma" w:hAnsi="Tahoma" w:cs="Tahoma"/>
        </w:rPr>
      </w:pPr>
    </w:p>
    <w:p w:rsidR="002E472A" w:rsidRPr="00AD6D49" w:rsidRDefault="002E472A" w:rsidP="00AD6D49">
      <w:pPr>
        <w:ind w:left="360"/>
        <w:rPr>
          <w:rFonts w:ascii="Tahoma" w:hAnsi="Tahoma" w:cs="Tahoma"/>
        </w:rPr>
      </w:pPr>
    </w:p>
    <w:p w:rsidR="002E472A" w:rsidRPr="00AD6D49" w:rsidRDefault="002E472A">
      <w:pPr>
        <w:rPr>
          <w:rFonts w:ascii="Tahoma" w:hAnsi="Tahoma" w:cs="Tahoma"/>
        </w:rPr>
      </w:pPr>
    </w:p>
    <w:sectPr w:rsidR="002E472A" w:rsidRPr="00AD6D49" w:rsidSect="00D07DFE">
      <w:pgSz w:w="11906" w:h="16838"/>
      <w:pgMar w:top="1135" w:right="282"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0A56"/>
    <w:multiLevelType w:val="hybridMultilevel"/>
    <w:tmpl w:val="A904674E"/>
    <w:lvl w:ilvl="0" w:tplc="7BDE872A">
      <w:start w:val="1"/>
      <w:numFmt w:val="bullet"/>
      <w:lvlText w:val="o"/>
      <w:lvlJc w:val="left"/>
      <w:pPr>
        <w:ind w:left="720" w:hanging="360"/>
      </w:pPr>
      <w:rPr>
        <w:rFonts w:ascii="Courier New" w:hAnsi="Courier New" w:hint="default"/>
        <w:color w:val="FFC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AA0AAB"/>
    <w:multiLevelType w:val="hybridMultilevel"/>
    <w:tmpl w:val="9888470E"/>
    <w:lvl w:ilvl="0" w:tplc="30769C6C">
      <w:start w:val="1"/>
      <w:numFmt w:val="bullet"/>
      <w:lvlText w:val="o"/>
      <w:lvlJc w:val="left"/>
      <w:pPr>
        <w:ind w:left="720" w:hanging="360"/>
      </w:pPr>
      <w:rPr>
        <w:rFonts w:ascii="Courier New" w:hAnsi="Courier New" w:hint="default"/>
        <w:color w:val="34AC0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815160"/>
    <w:multiLevelType w:val="hybridMultilevel"/>
    <w:tmpl w:val="5FE2C6A8"/>
    <w:lvl w:ilvl="0" w:tplc="03CE672C">
      <w:numFmt w:val="bullet"/>
      <w:lvlText w:val="-"/>
      <w:lvlJc w:val="left"/>
      <w:pPr>
        <w:ind w:left="644"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090CD5"/>
    <w:multiLevelType w:val="hybridMultilevel"/>
    <w:tmpl w:val="85023DC4"/>
    <w:lvl w:ilvl="0" w:tplc="040C0001">
      <w:start w:val="1"/>
      <w:numFmt w:val="bullet"/>
      <w:lvlText w:val=""/>
      <w:lvlJc w:val="left"/>
      <w:pPr>
        <w:tabs>
          <w:tab w:val="num" w:pos="660"/>
        </w:tabs>
        <w:ind w:left="6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3CA"/>
    <w:rsid w:val="00184828"/>
    <w:rsid w:val="001C32C2"/>
    <w:rsid w:val="001F490F"/>
    <w:rsid w:val="002133CA"/>
    <w:rsid w:val="002E472A"/>
    <w:rsid w:val="00394CAF"/>
    <w:rsid w:val="004C6662"/>
    <w:rsid w:val="005345BC"/>
    <w:rsid w:val="00630B03"/>
    <w:rsid w:val="006A578A"/>
    <w:rsid w:val="00893D28"/>
    <w:rsid w:val="00964531"/>
    <w:rsid w:val="00AD6D49"/>
    <w:rsid w:val="00D07DFE"/>
    <w:rsid w:val="00E45E6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28"/>
    <w:pPr>
      <w:spacing w:after="200" w:line="276" w:lineRule="auto"/>
    </w:pPr>
    <w:rPr>
      <w:lang w:eastAsia="en-US"/>
    </w:rPr>
  </w:style>
  <w:style w:type="paragraph" w:styleId="Heading5">
    <w:name w:val="heading 5"/>
    <w:basedOn w:val="Normal"/>
    <w:next w:val="Normal"/>
    <w:link w:val="Heading5Char"/>
    <w:uiPriority w:val="99"/>
    <w:qFormat/>
    <w:rsid w:val="00AD6D49"/>
    <w:pPr>
      <w:spacing w:before="240" w:after="60" w:line="240" w:lineRule="auto"/>
      <w:outlineLvl w:val="4"/>
    </w:pPr>
    <w:rPr>
      <w:rFonts w:ascii="Times New Roman" w:eastAsia="Times New Roman" w:hAnsi="Times New Roman"/>
      <w:b/>
      <w:bCs/>
      <w:i/>
      <w:iCs/>
      <w:sz w:val="26"/>
      <w:szCs w:val="26"/>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AD6D49"/>
    <w:rPr>
      <w:rFonts w:ascii="Times New Roman" w:hAnsi="Times New Roman" w:cs="Times New Roman"/>
      <w:b/>
      <w:bCs/>
      <w:i/>
      <w:iCs/>
      <w:sz w:val="26"/>
      <w:szCs w:val="26"/>
      <w:lang w:eastAsia="fr-FR"/>
    </w:rPr>
  </w:style>
  <w:style w:type="paragraph" w:styleId="ListParagraph">
    <w:name w:val="List Paragraph"/>
    <w:basedOn w:val="Normal"/>
    <w:uiPriority w:val="99"/>
    <w:qFormat/>
    <w:rsid w:val="00964531"/>
    <w:pPr>
      <w:ind w:left="720"/>
      <w:contextualSpacing/>
    </w:pPr>
  </w:style>
  <w:style w:type="paragraph" w:styleId="Header">
    <w:name w:val="header"/>
    <w:basedOn w:val="Normal"/>
    <w:link w:val="HeaderChar"/>
    <w:uiPriority w:val="99"/>
    <w:rsid w:val="00AD6D49"/>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HeaderChar">
    <w:name w:val="Header Char"/>
    <w:basedOn w:val="DefaultParagraphFont"/>
    <w:link w:val="Header"/>
    <w:uiPriority w:val="99"/>
    <w:locked/>
    <w:rsid w:val="00AD6D49"/>
    <w:rPr>
      <w:rFonts w:ascii="Times New Roman" w:hAnsi="Times New Roman" w:cs="Times New Roman"/>
      <w:sz w:val="20"/>
      <w:szCs w:val="20"/>
      <w:lang w:eastAsia="fr-FR"/>
    </w:rPr>
  </w:style>
  <w:style w:type="paragraph" w:styleId="BodyText">
    <w:name w:val="Body Text"/>
    <w:basedOn w:val="Normal"/>
    <w:link w:val="BodyTextChar"/>
    <w:uiPriority w:val="99"/>
    <w:rsid w:val="00AD6D49"/>
    <w:pPr>
      <w:autoSpaceDE w:val="0"/>
      <w:autoSpaceDN w:val="0"/>
      <w:spacing w:after="0" w:line="240" w:lineRule="auto"/>
      <w:jc w:val="both"/>
    </w:pPr>
    <w:rPr>
      <w:rFonts w:ascii="Times New Roman" w:eastAsia="Times New Roman" w:hAnsi="Times New Roman"/>
      <w:lang w:eastAsia="fr-FR"/>
    </w:rPr>
  </w:style>
  <w:style w:type="character" w:customStyle="1" w:styleId="BodyTextChar">
    <w:name w:val="Body Text Char"/>
    <w:basedOn w:val="DefaultParagraphFont"/>
    <w:link w:val="BodyText"/>
    <w:uiPriority w:val="99"/>
    <w:locked/>
    <w:rsid w:val="00AD6D49"/>
    <w:rPr>
      <w:rFonts w:ascii="Times New Roman" w:hAnsi="Times New Roman" w:cs="Times New Roman"/>
      <w:lang w:eastAsia="fr-FR"/>
    </w:rPr>
  </w:style>
  <w:style w:type="paragraph" w:styleId="BodyText2">
    <w:name w:val="Body Text 2"/>
    <w:basedOn w:val="Normal"/>
    <w:link w:val="BodyText2Char"/>
    <w:uiPriority w:val="99"/>
    <w:rsid w:val="00AD6D49"/>
    <w:pPr>
      <w:autoSpaceDE w:val="0"/>
      <w:autoSpaceDN w:val="0"/>
      <w:spacing w:after="0" w:line="240" w:lineRule="auto"/>
      <w:jc w:val="both"/>
    </w:pPr>
    <w:rPr>
      <w:rFonts w:ascii="Albertus (W1)" w:eastAsia="Times New Roman" w:hAnsi="Albertus (W1)" w:cs="Albertus (W1)"/>
      <w:i/>
      <w:iCs/>
      <w:sz w:val="20"/>
      <w:szCs w:val="20"/>
      <w:lang w:eastAsia="fr-FR"/>
    </w:rPr>
  </w:style>
  <w:style w:type="character" w:customStyle="1" w:styleId="BodyText2Char">
    <w:name w:val="Body Text 2 Char"/>
    <w:basedOn w:val="DefaultParagraphFont"/>
    <w:link w:val="BodyText2"/>
    <w:uiPriority w:val="99"/>
    <w:locked/>
    <w:rsid w:val="00AD6D49"/>
    <w:rPr>
      <w:rFonts w:ascii="Albertus (W1)" w:hAnsi="Albertus (W1)" w:cs="Albertus (W1)"/>
      <w:i/>
      <w:iCs/>
      <w:sz w:val="20"/>
      <w:szCs w:val="20"/>
      <w:lang w:eastAsia="fr-FR"/>
    </w:rPr>
  </w:style>
  <w:style w:type="character" w:styleId="Hyperlink">
    <w:name w:val="Hyperlink"/>
    <w:basedOn w:val="DefaultParagraphFont"/>
    <w:uiPriority w:val="99"/>
    <w:rsid w:val="00D07D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oulonneurs.org" TargetMode="External"/><Relationship Id="rId5" Type="http://schemas.openxmlformats.org/officeDocument/2006/relationships/hyperlink" Target="http://www.alternatives.non.violent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526</Words>
  <Characters>2897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Compiègne, samedi 21 avril, de 15h à 22h30</dc:title>
  <dc:subject/>
  <dc:creator>PC</dc:creator>
  <cp:keywords/>
  <dc:description/>
  <cp:lastModifiedBy>utilisateur</cp:lastModifiedBy>
  <cp:revision>2</cp:revision>
  <dcterms:created xsi:type="dcterms:W3CDTF">2012-03-28T09:13:00Z</dcterms:created>
  <dcterms:modified xsi:type="dcterms:W3CDTF">2012-03-28T09:13:00Z</dcterms:modified>
</cp:coreProperties>
</file>